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231C8" w14:textId="77777777" w:rsidR="00DF2088" w:rsidRDefault="00DF2088" w:rsidP="00C56D48">
      <w:pPr>
        <w:jc w:val="center"/>
        <w:rPr>
          <w:rFonts w:ascii="Aptos" w:hAnsi="Aptos"/>
          <w:b/>
          <w:bCs/>
          <w:sz w:val="44"/>
          <w:szCs w:val="44"/>
          <w:u w:val="single"/>
        </w:rPr>
      </w:pPr>
    </w:p>
    <w:p w14:paraId="40A5D0BD" w14:textId="042A6E9D" w:rsidR="00EA417F" w:rsidRDefault="00C56D48" w:rsidP="00C56D48">
      <w:pPr>
        <w:jc w:val="center"/>
        <w:rPr>
          <w:rFonts w:ascii="Aptos" w:hAnsi="Aptos"/>
          <w:b/>
          <w:bCs/>
          <w:sz w:val="44"/>
          <w:szCs w:val="44"/>
          <w:u w:val="single"/>
        </w:rPr>
      </w:pPr>
      <w:r w:rsidRPr="00C56D48">
        <w:rPr>
          <w:rFonts w:ascii="Aptos" w:hAnsi="Aptos"/>
          <w:b/>
          <w:bCs/>
          <w:sz w:val="44"/>
          <w:szCs w:val="44"/>
          <w:u w:val="single"/>
        </w:rPr>
        <w:t>POLITICA DE ASISTENCIA FINANCIERA</w:t>
      </w:r>
    </w:p>
    <w:p w14:paraId="6FE6A9C8" w14:textId="77777777" w:rsidR="00C56D48" w:rsidRPr="00C56D48" w:rsidRDefault="00C56D48" w:rsidP="00E83284">
      <w:pPr>
        <w:rPr>
          <w:rFonts w:ascii="Aptos" w:hAnsi="Aptos"/>
          <w:sz w:val="22"/>
          <w:szCs w:val="22"/>
        </w:rPr>
      </w:pPr>
    </w:p>
    <w:p w14:paraId="7AA2EE7C" w14:textId="77777777" w:rsidR="007B4101" w:rsidRPr="004E629D" w:rsidRDefault="007B4101" w:rsidP="007B4101">
      <w:pPr>
        <w:pStyle w:val="Heading1"/>
        <w:rPr>
          <w:rFonts w:ascii="Aptos" w:hAnsi="Aptos"/>
          <w:sz w:val="24"/>
          <w:szCs w:val="24"/>
          <w:lang w:val="es-ES_tradnl"/>
        </w:rPr>
      </w:pPr>
      <w:r w:rsidRPr="004E629D">
        <w:rPr>
          <w:rFonts w:ascii="Aptos" w:hAnsi="Aptos"/>
          <w:sz w:val="24"/>
          <w:szCs w:val="24"/>
          <w:lang w:val="es-ES_tradnl"/>
        </w:rPr>
        <w:t>ALCANCE:</w:t>
      </w:r>
    </w:p>
    <w:p w14:paraId="57A405EE" w14:textId="4A603777" w:rsidR="007B4101" w:rsidRPr="004E629D" w:rsidRDefault="007B4101" w:rsidP="00FD0671">
      <w:pPr>
        <w:pStyle w:val="BodyText"/>
        <w:spacing w:before="159"/>
        <w:rPr>
          <w:rFonts w:ascii="Aptos" w:hAnsi="Aptos"/>
          <w:sz w:val="24"/>
          <w:szCs w:val="24"/>
          <w:lang w:val="es-ES_tradnl"/>
        </w:rPr>
      </w:pPr>
      <w:r w:rsidRPr="004E629D">
        <w:rPr>
          <w:rFonts w:ascii="Aptos" w:hAnsi="Aptos"/>
          <w:sz w:val="24"/>
          <w:szCs w:val="24"/>
          <w:lang w:val="es-ES_tradnl"/>
        </w:rPr>
        <w:t xml:space="preserve">Esta Política se aplica al </w:t>
      </w:r>
      <w:r w:rsidR="00867C86" w:rsidRPr="004E629D">
        <w:rPr>
          <w:rFonts w:ascii="Aptos" w:hAnsi="Aptos"/>
          <w:sz w:val="24"/>
          <w:szCs w:val="24"/>
          <w:lang w:val="es-ES_tradnl"/>
        </w:rPr>
        <w:t>Maria Parham Health / Maria Parham Franklin</w:t>
      </w:r>
      <w:r w:rsidRPr="004E629D">
        <w:rPr>
          <w:rFonts w:ascii="Aptos" w:hAnsi="Aptos"/>
          <w:sz w:val="24"/>
          <w:szCs w:val="24"/>
          <w:lang w:val="es-ES_tradnl"/>
        </w:rPr>
        <w:t xml:space="preserve"> a partir del 1.º de enero de 2025. </w:t>
      </w:r>
    </w:p>
    <w:p w14:paraId="4A84511B" w14:textId="46001216" w:rsidR="007B4101" w:rsidRPr="004E629D" w:rsidRDefault="007B4101" w:rsidP="007B4101">
      <w:pPr>
        <w:pStyle w:val="BodyText"/>
        <w:spacing w:before="206" w:line="295" w:lineRule="auto"/>
        <w:ind w:right="175"/>
        <w:rPr>
          <w:rFonts w:ascii="Aptos" w:hAnsi="Aptos"/>
          <w:sz w:val="24"/>
          <w:szCs w:val="24"/>
          <w:lang w:val="es-ES_tradnl"/>
        </w:rPr>
      </w:pPr>
      <w:r w:rsidRPr="004E629D">
        <w:rPr>
          <w:rFonts w:ascii="Aptos" w:hAnsi="Aptos"/>
          <w:sz w:val="24"/>
          <w:szCs w:val="24"/>
          <w:lang w:val="es-ES_tradnl"/>
        </w:rPr>
        <w:t xml:space="preserve">El </w:t>
      </w:r>
      <w:r w:rsidR="00CB50D5" w:rsidRPr="004E629D">
        <w:rPr>
          <w:rFonts w:ascii="Aptos" w:hAnsi="Aptos"/>
          <w:sz w:val="24"/>
          <w:szCs w:val="24"/>
          <w:lang w:val="es-ES_tradnl"/>
        </w:rPr>
        <w:t>Maria Parham Health / Maria Parham Franklin</w:t>
      </w:r>
      <w:r w:rsidRPr="004E629D">
        <w:rPr>
          <w:rFonts w:ascii="Aptos" w:hAnsi="Aptos"/>
          <w:b/>
          <w:sz w:val="24"/>
          <w:szCs w:val="24"/>
          <w:lang w:val="es-ES_tradnl"/>
        </w:rPr>
        <w:t xml:space="preserve"> </w:t>
      </w:r>
      <w:r w:rsidRPr="004E629D">
        <w:rPr>
          <w:rFonts w:ascii="Aptos" w:hAnsi="Aptos"/>
          <w:sz w:val="24"/>
          <w:szCs w:val="24"/>
          <w:lang w:val="es-ES_tradnl"/>
        </w:rPr>
        <w:t>se compromete a brindar Asistencia financiera para Servicios cubiertos a pacientes que no puedan pagar, según su situación financiera individual. La elegibilidad se suele determinar midiendo los ingresos familiares brutos del paciente frente a los Lineamientos de Pobreza Federales, según se describe en los Lineamientos de la Política, a continuación.</w:t>
      </w:r>
    </w:p>
    <w:p w14:paraId="512843E3" w14:textId="77777777" w:rsidR="007B4101" w:rsidRPr="004E629D" w:rsidRDefault="007B4101" w:rsidP="007B4101">
      <w:pPr>
        <w:pStyle w:val="BodyText"/>
        <w:rPr>
          <w:rFonts w:ascii="Aptos" w:hAnsi="Aptos"/>
          <w:sz w:val="24"/>
          <w:szCs w:val="24"/>
          <w:lang w:val="es-ES_tradnl"/>
        </w:rPr>
      </w:pPr>
    </w:p>
    <w:p w14:paraId="10C13575" w14:textId="33624088" w:rsidR="007B4101" w:rsidRPr="004E629D" w:rsidRDefault="007B4101" w:rsidP="007B4101">
      <w:pPr>
        <w:pStyle w:val="BodyText"/>
        <w:spacing w:line="295" w:lineRule="auto"/>
        <w:ind w:right="175"/>
        <w:rPr>
          <w:rFonts w:ascii="Aptos" w:hAnsi="Aptos"/>
          <w:sz w:val="24"/>
          <w:szCs w:val="24"/>
          <w:lang w:val="es-ES_tradnl"/>
        </w:rPr>
      </w:pPr>
      <w:r w:rsidRPr="004E629D">
        <w:rPr>
          <w:rFonts w:ascii="Aptos" w:hAnsi="Aptos"/>
          <w:sz w:val="24"/>
          <w:szCs w:val="24"/>
          <w:lang w:val="es-ES_tradnl"/>
        </w:rPr>
        <w:t xml:space="preserve">La Asistencia financiera no se aplica a montos cubiertos por el seguro u otras fuentes de financiación. Los pacientes deben obtener y mantener una cobertura de seguro de salud, si hay una cobertura asequible a su disposición. Para ser elegible para Asistencia financiera, el paciente debe haber presentado una solicitud y cumplido con todos los procesos relacionados con la solicitud de asistencia de otras aseguradoras o programas (incluidos todos los programas gubernamentales potencialmente aplicables), según lo solicite el </w:t>
      </w:r>
      <w:r w:rsidR="007936E0" w:rsidRPr="004E629D">
        <w:rPr>
          <w:rFonts w:ascii="Aptos" w:hAnsi="Aptos"/>
          <w:sz w:val="24"/>
          <w:szCs w:val="24"/>
          <w:lang w:val="es-ES_tradnl"/>
        </w:rPr>
        <w:t>Maria Parham Health / Maria Parham Franklin</w:t>
      </w:r>
      <w:r w:rsidRPr="004E629D">
        <w:rPr>
          <w:rFonts w:ascii="Aptos" w:hAnsi="Aptos"/>
          <w:sz w:val="24"/>
          <w:szCs w:val="24"/>
          <w:lang w:val="es-ES_tradnl"/>
        </w:rPr>
        <w:t xml:space="preserve">. Los pacientes que no obedezcan o no cooperen en los intentos de obtener una cobertura de seguro, de calificar para los programas gubernamentales o de obtener otra fuente de financiación no serán elegibles para la Asistencia financiera. </w:t>
      </w:r>
    </w:p>
    <w:p w14:paraId="5F2C82BF" w14:textId="77777777" w:rsidR="007B4101" w:rsidRPr="004E629D" w:rsidRDefault="007B4101" w:rsidP="007B4101">
      <w:pPr>
        <w:pStyle w:val="BodyText"/>
        <w:spacing w:before="150" w:line="295" w:lineRule="auto"/>
        <w:ind w:right="329"/>
        <w:rPr>
          <w:rFonts w:ascii="Aptos" w:hAnsi="Aptos"/>
          <w:sz w:val="24"/>
          <w:szCs w:val="24"/>
          <w:lang w:val="es-ES_tradnl"/>
        </w:rPr>
      </w:pPr>
      <w:r w:rsidRPr="004E629D">
        <w:rPr>
          <w:rFonts w:ascii="Aptos" w:hAnsi="Aptos"/>
          <w:sz w:val="24"/>
          <w:szCs w:val="24"/>
          <w:lang w:val="es-ES_tradnl"/>
        </w:rPr>
        <w:t>Los pacientes no serán elegibles para la Asistencia financiera si brindan información falsa o documentación falsificada sobre el tamaño del grupo familiar, los ingresos o demás información del paciente.</w:t>
      </w:r>
    </w:p>
    <w:p w14:paraId="49A0D0E6" w14:textId="77777777" w:rsidR="007B4101" w:rsidRPr="004E629D" w:rsidRDefault="007B4101" w:rsidP="007B4101">
      <w:pPr>
        <w:pStyle w:val="Heading1"/>
        <w:spacing w:before="98"/>
        <w:rPr>
          <w:rFonts w:ascii="Aptos" w:hAnsi="Aptos"/>
          <w:sz w:val="24"/>
          <w:szCs w:val="24"/>
          <w:lang w:val="es-ES_tradnl"/>
        </w:rPr>
      </w:pPr>
      <w:bookmarkStart w:id="0" w:name="PURPOSE:"/>
      <w:bookmarkEnd w:id="0"/>
      <w:r w:rsidRPr="004E629D">
        <w:rPr>
          <w:rFonts w:ascii="Aptos" w:hAnsi="Aptos"/>
          <w:sz w:val="24"/>
          <w:szCs w:val="24"/>
          <w:lang w:val="es-ES_tradnl"/>
        </w:rPr>
        <w:t>PROPÓSITO:</w:t>
      </w:r>
    </w:p>
    <w:p w14:paraId="397AD688" w14:textId="108B1BE6" w:rsidR="007B4101" w:rsidRPr="004E629D" w:rsidRDefault="007936E0" w:rsidP="007B4101">
      <w:pPr>
        <w:spacing w:before="159" w:line="295" w:lineRule="auto"/>
        <w:ind w:left="329" w:right="329"/>
        <w:rPr>
          <w:rFonts w:ascii="Aptos" w:hAnsi="Aptos"/>
          <w:lang w:val="es-ES_tradnl"/>
        </w:rPr>
      </w:pPr>
      <w:r w:rsidRPr="004E629D">
        <w:rPr>
          <w:rFonts w:ascii="Aptos" w:hAnsi="Aptos"/>
          <w:lang w:val="es-ES_tradnl"/>
        </w:rPr>
        <w:t>Maria Parham Health / Maria Parham Franklin</w:t>
      </w:r>
      <w:r w:rsidR="007B4101" w:rsidRPr="004E629D">
        <w:rPr>
          <w:rFonts w:ascii="Aptos" w:hAnsi="Aptos"/>
          <w:lang w:val="es-ES_tradnl"/>
        </w:rPr>
        <w:t xml:space="preserve"> ha creado esta Política para exponer las circunstancias en las cuales </w:t>
      </w:r>
      <w:r w:rsidR="005D72A1" w:rsidRPr="004E629D">
        <w:rPr>
          <w:rFonts w:ascii="Aptos" w:hAnsi="Aptos"/>
          <w:lang w:val="es-ES_tradnl"/>
        </w:rPr>
        <w:t>Maria Parham Health / Maria Parham Franklin</w:t>
      </w:r>
      <w:r w:rsidR="005D72A1" w:rsidRPr="004E629D">
        <w:rPr>
          <w:rFonts w:ascii="Aptos" w:hAnsi="Aptos"/>
          <w:b/>
          <w:lang w:val="es-ES_tradnl"/>
        </w:rPr>
        <w:t xml:space="preserve"> </w:t>
      </w:r>
      <w:r w:rsidR="007B4101" w:rsidRPr="004E629D">
        <w:rPr>
          <w:rFonts w:ascii="Aptos" w:hAnsi="Aptos"/>
          <w:lang w:val="es-ES_tradnl"/>
        </w:rPr>
        <w:t>proporcionará atención gratuita o con descuento a pacientes sin seguro que necesiten atención de emergencia u otra atención necesaria desde el punto de vista médico y que demuestren su incapacidad de pagar.</w:t>
      </w:r>
    </w:p>
    <w:p w14:paraId="3884E41E" w14:textId="77777777" w:rsidR="007B4101" w:rsidRPr="004E629D" w:rsidRDefault="007B4101" w:rsidP="007B4101">
      <w:pPr>
        <w:pStyle w:val="Heading1"/>
        <w:spacing w:before="154"/>
        <w:rPr>
          <w:rFonts w:ascii="Aptos" w:hAnsi="Aptos"/>
          <w:sz w:val="24"/>
          <w:szCs w:val="24"/>
          <w:lang w:val="es-ES_tradnl"/>
        </w:rPr>
      </w:pPr>
      <w:bookmarkStart w:id="1" w:name="POLICY:"/>
      <w:bookmarkEnd w:id="1"/>
      <w:r w:rsidRPr="004E629D">
        <w:rPr>
          <w:rFonts w:ascii="Aptos" w:hAnsi="Aptos"/>
          <w:sz w:val="24"/>
          <w:szCs w:val="24"/>
          <w:lang w:val="es-ES_tradnl"/>
        </w:rPr>
        <w:t>POLÍTICA:</w:t>
      </w:r>
    </w:p>
    <w:p w14:paraId="3C2D7BF5" w14:textId="77777777" w:rsidR="009E47CA" w:rsidRDefault="007B4101" w:rsidP="007B4101">
      <w:pPr>
        <w:pStyle w:val="BodyText"/>
        <w:spacing w:before="159" w:line="295" w:lineRule="auto"/>
        <w:ind w:left="329" w:right="175"/>
        <w:rPr>
          <w:rFonts w:ascii="Aptos" w:hAnsi="Aptos"/>
          <w:sz w:val="24"/>
          <w:szCs w:val="24"/>
          <w:lang w:val="es-ES_tradnl"/>
        </w:rPr>
      </w:pPr>
      <w:r w:rsidRPr="004E629D">
        <w:rPr>
          <w:rFonts w:ascii="Aptos" w:hAnsi="Aptos"/>
          <w:sz w:val="24"/>
          <w:szCs w:val="24"/>
          <w:u w:val="single" w:color="182D4A"/>
          <w:lang w:val="es-ES_tradnl"/>
        </w:rPr>
        <w:t>Elegibilidad</w:t>
      </w:r>
      <w:r w:rsidRPr="004E629D">
        <w:rPr>
          <w:rFonts w:ascii="Aptos" w:hAnsi="Aptos"/>
          <w:sz w:val="24"/>
          <w:szCs w:val="24"/>
          <w:lang w:val="es-ES_tradnl"/>
        </w:rPr>
        <w:t xml:space="preserve">. La elegibilidad para Asistencia financiera y la suma de la Asistencia financiera que se proveerá suele determinarse midiendo los ingresos familiares brutos del paciente en comparación con los Lineamientos de Pobreza Federales, según se especifica en los Lineamientos sobre </w:t>
      </w:r>
    </w:p>
    <w:p w14:paraId="0EF969A9" w14:textId="77777777" w:rsidR="009E47CA" w:rsidRDefault="009E47CA" w:rsidP="007B4101">
      <w:pPr>
        <w:pStyle w:val="BodyText"/>
        <w:spacing w:before="159" w:line="295" w:lineRule="auto"/>
        <w:ind w:left="329" w:right="175"/>
        <w:rPr>
          <w:rFonts w:ascii="Aptos" w:hAnsi="Aptos"/>
          <w:sz w:val="24"/>
          <w:szCs w:val="24"/>
          <w:lang w:val="es-ES_tradnl"/>
        </w:rPr>
      </w:pPr>
    </w:p>
    <w:p w14:paraId="5D301C07" w14:textId="750D0157" w:rsidR="007B4101" w:rsidRPr="004E629D" w:rsidRDefault="007B4101" w:rsidP="007B4101">
      <w:pPr>
        <w:pStyle w:val="BodyText"/>
        <w:spacing w:before="159" w:line="295" w:lineRule="auto"/>
        <w:ind w:left="329" w:right="175"/>
        <w:rPr>
          <w:rFonts w:ascii="Aptos" w:hAnsi="Aptos"/>
          <w:sz w:val="24"/>
          <w:szCs w:val="24"/>
          <w:lang w:val="es-ES_tradnl"/>
        </w:rPr>
      </w:pPr>
      <w:r w:rsidRPr="004E629D">
        <w:rPr>
          <w:rFonts w:ascii="Aptos" w:hAnsi="Aptos"/>
          <w:sz w:val="24"/>
          <w:szCs w:val="24"/>
          <w:lang w:val="es-ES_tradnl"/>
        </w:rPr>
        <w:t xml:space="preserve">descuentos de la Asistencia financiera (consulte el Anexo B). Estos lineamientos se ajustarán periódicamente para reflejar los cambios en los Lineamientos de Pobreza Federales y para ajustar los porcentajes de descuento a fin de garantizar que, en todos los casos, a un paciente considerado elegible para la Asistencia financiera de conformidad con esta política no se le facture más de la suma que por lo general </w:t>
      </w:r>
      <w:r w:rsidR="005D72A1" w:rsidRPr="004E629D">
        <w:rPr>
          <w:rFonts w:ascii="Aptos" w:hAnsi="Aptos"/>
          <w:sz w:val="24"/>
          <w:szCs w:val="24"/>
          <w:lang w:val="es-ES_tradnl"/>
        </w:rPr>
        <w:t>Maria Parham Health / Maria Parham Franklin</w:t>
      </w:r>
      <w:r w:rsidRPr="004E629D">
        <w:rPr>
          <w:rFonts w:ascii="Aptos" w:hAnsi="Aptos"/>
          <w:b/>
          <w:sz w:val="24"/>
          <w:szCs w:val="24"/>
          <w:lang w:val="es-ES_tradnl"/>
        </w:rPr>
        <w:t xml:space="preserve"> </w:t>
      </w:r>
      <w:r w:rsidRPr="004E629D">
        <w:rPr>
          <w:rFonts w:ascii="Aptos" w:hAnsi="Aptos"/>
          <w:sz w:val="24"/>
          <w:szCs w:val="24"/>
          <w:lang w:val="es-ES_tradnl"/>
        </w:rPr>
        <w:t>les factura a las personas que tienen un seguro que cubre dicha atención.</w:t>
      </w:r>
    </w:p>
    <w:p w14:paraId="19B01D2D" w14:textId="77777777" w:rsidR="007B4101" w:rsidRPr="004E629D" w:rsidRDefault="007B4101" w:rsidP="007B4101">
      <w:pPr>
        <w:pStyle w:val="BodyText"/>
        <w:spacing w:before="149" w:line="295" w:lineRule="auto"/>
        <w:ind w:right="360"/>
        <w:rPr>
          <w:rFonts w:ascii="Aptos" w:hAnsi="Aptos"/>
          <w:sz w:val="24"/>
          <w:szCs w:val="24"/>
          <w:lang w:val="es-ES_tradnl"/>
        </w:rPr>
      </w:pPr>
      <w:r w:rsidRPr="004E629D">
        <w:rPr>
          <w:rFonts w:ascii="Aptos" w:hAnsi="Aptos"/>
          <w:sz w:val="24"/>
          <w:szCs w:val="24"/>
          <w:lang w:val="es-ES_tradnl"/>
        </w:rPr>
        <w:t>El término “Familia”, a estos fines, incluye al cónyuge o la pareja doméstica, a los hijos y a otras personas tratadas como “dependientes” a los fines del impuesto federal sobre los ingresos.</w:t>
      </w:r>
    </w:p>
    <w:p w14:paraId="145BF8A7" w14:textId="77777777" w:rsidR="007B4101" w:rsidRPr="004E629D" w:rsidRDefault="007B4101" w:rsidP="007B4101">
      <w:pPr>
        <w:pStyle w:val="BodyText"/>
        <w:spacing w:before="150"/>
        <w:rPr>
          <w:rFonts w:ascii="Aptos" w:hAnsi="Aptos"/>
          <w:sz w:val="24"/>
          <w:szCs w:val="24"/>
          <w:lang w:val="es-ES_tradnl"/>
        </w:rPr>
      </w:pPr>
      <w:r w:rsidRPr="004E629D">
        <w:rPr>
          <w:rFonts w:ascii="Aptos" w:hAnsi="Aptos"/>
          <w:sz w:val="24"/>
          <w:szCs w:val="24"/>
          <w:lang w:val="es-ES_tradnl"/>
        </w:rPr>
        <w:t>Los ingresos incluyen el dinero procedente de los siguientes recursos (antes de la deducción de impuestos):</w:t>
      </w:r>
    </w:p>
    <w:p w14:paraId="7F6FFB8A" w14:textId="77777777" w:rsidR="00B06016" w:rsidRPr="004E629D" w:rsidRDefault="00B06016" w:rsidP="00B06016">
      <w:pPr>
        <w:pStyle w:val="ListParagraph"/>
        <w:numPr>
          <w:ilvl w:val="0"/>
          <w:numId w:val="4"/>
        </w:numPr>
        <w:tabs>
          <w:tab w:val="left" w:pos="1256"/>
        </w:tabs>
        <w:spacing w:before="192"/>
        <w:ind w:left="1256" w:right="0" w:hanging="229"/>
        <w:rPr>
          <w:rFonts w:ascii="Aptos" w:hAnsi="Aptos"/>
          <w:sz w:val="24"/>
          <w:szCs w:val="24"/>
          <w:lang w:val="es-ES_tradnl"/>
        </w:rPr>
      </w:pPr>
      <w:r w:rsidRPr="004E629D">
        <w:rPr>
          <w:rFonts w:ascii="Aptos" w:hAnsi="Aptos"/>
          <w:sz w:val="24"/>
          <w:szCs w:val="24"/>
          <w:lang w:val="es-ES_tradnl"/>
        </w:rPr>
        <w:t>Salario</w:t>
      </w:r>
    </w:p>
    <w:p w14:paraId="0611D2D9" w14:textId="77777777" w:rsidR="00B06016" w:rsidRPr="004E629D" w:rsidRDefault="00B06016" w:rsidP="00B06016">
      <w:pPr>
        <w:pStyle w:val="ListParagraph"/>
        <w:numPr>
          <w:ilvl w:val="0"/>
          <w:numId w:val="4"/>
        </w:numPr>
        <w:tabs>
          <w:tab w:val="left" w:pos="1256"/>
        </w:tabs>
        <w:spacing w:before="119"/>
        <w:ind w:left="1256" w:right="0" w:hanging="229"/>
        <w:rPr>
          <w:rFonts w:ascii="Aptos" w:hAnsi="Aptos"/>
          <w:sz w:val="24"/>
          <w:szCs w:val="24"/>
          <w:lang w:val="es-ES_tradnl"/>
        </w:rPr>
      </w:pPr>
      <w:r w:rsidRPr="004E629D">
        <w:rPr>
          <w:rFonts w:ascii="Aptos" w:hAnsi="Aptos"/>
          <w:sz w:val="24"/>
          <w:szCs w:val="24"/>
          <w:lang w:val="es-ES_tradnl"/>
        </w:rPr>
        <w:t>Propinas</w:t>
      </w:r>
    </w:p>
    <w:p w14:paraId="74D29017" w14:textId="77777777" w:rsidR="00B06016" w:rsidRPr="004E629D" w:rsidRDefault="00B06016" w:rsidP="00B06016">
      <w:pPr>
        <w:pStyle w:val="ListParagraph"/>
        <w:numPr>
          <w:ilvl w:val="0"/>
          <w:numId w:val="4"/>
        </w:numPr>
        <w:tabs>
          <w:tab w:val="left" w:pos="1256"/>
        </w:tabs>
        <w:spacing w:before="119"/>
        <w:ind w:left="1256" w:right="0" w:hanging="229"/>
        <w:rPr>
          <w:rFonts w:ascii="Aptos" w:hAnsi="Aptos"/>
          <w:sz w:val="24"/>
          <w:szCs w:val="24"/>
          <w:lang w:val="es-ES_tradnl"/>
        </w:rPr>
      </w:pPr>
      <w:r w:rsidRPr="004E629D">
        <w:rPr>
          <w:rFonts w:ascii="Aptos" w:hAnsi="Aptos"/>
          <w:sz w:val="24"/>
          <w:szCs w:val="24"/>
          <w:lang w:val="es-ES_tradnl"/>
        </w:rPr>
        <w:t>Pagos de la Seguridad Social</w:t>
      </w:r>
    </w:p>
    <w:p w14:paraId="4CEECA93" w14:textId="77777777" w:rsidR="00B06016" w:rsidRPr="004E629D" w:rsidRDefault="00B06016" w:rsidP="00B06016">
      <w:pPr>
        <w:pStyle w:val="ListParagraph"/>
        <w:numPr>
          <w:ilvl w:val="0"/>
          <w:numId w:val="4"/>
        </w:numPr>
        <w:tabs>
          <w:tab w:val="left" w:pos="1256"/>
        </w:tabs>
        <w:spacing w:before="119"/>
        <w:ind w:left="1256" w:right="0" w:hanging="229"/>
        <w:rPr>
          <w:rFonts w:ascii="Aptos" w:hAnsi="Aptos"/>
          <w:sz w:val="24"/>
          <w:szCs w:val="24"/>
          <w:lang w:val="es-ES_tradnl"/>
        </w:rPr>
      </w:pPr>
      <w:r w:rsidRPr="004E629D">
        <w:rPr>
          <w:rFonts w:ascii="Aptos" w:hAnsi="Aptos"/>
          <w:sz w:val="24"/>
          <w:szCs w:val="24"/>
          <w:lang w:val="es-ES_tradnl"/>
        </w:rPr>
        <w:t>Pagos del beneficio por jubilación</w:t>
      </w:r>
    </w:p>
    <w:p w14:paraId="7FDE4BEE" w14:textId="77777777" w:rsidR="00B06016" w:rsidRPr="004E629D" w:rsidRDefault="00B06016" w:rsidP="00B06016">
      <w:pPr>
        <w:pStyle w:val="ListParagraph"/>
        <w:numPr>
          <w:ilvl w:val="0"/>
          <w:numId w:val="4"/>
        </w:numPr>
        <w:tabs>
          <w:tab w:val="left" w:pos="1256"/>
        </w:tabs>
        <w:spacing w:before="119"/>
        <w:ind w:left="1256" w:right="0" w:hanging="229"/>
        <w:rPr>
          <w:rFonts w:ascii="Aptos" w:hAnsi="Aptos"/>
          <w:sz w:val="24"/>
          <w:szCs w:val="24"/>
          <w:lang w:val="es-ES_tradnl"/>
        </w:rPr>
      </w:pPr>
      <w:r w:rsidRPr="004E629D">
        <w:rPr>
          <w:rFonts w:ascii="Aptos" w:hAnsi="Aptos"/>
          <w:sz w:val="24"/>
          <w:szCs w:val="24"/>
          <w:lang w:val="es-ES_tradnl"/>
        </w:rPr>
        <w:t>Compensación por desempleo</w:t>
      </w:r>
    </w:p>
    <w:p w14:paraId="0E13E432" w14:textId="77777777" w:rsidR="00B06016" w:rsidRPr="004E629D" w:rsidRDefault="00B06016" w:rsidP="00B06016">
      <w:pPr>
        <w:pStyle w:val="ListParagraph"/>
        <w:numPr>
          <w:ilvl w:val="0"/>
          <w:numId w:val="4"/>
        </w:numPr>
        <w:tabs>
          <w:tab w:val="left" w:pos="1256"/>
        </w:tabs>
        <w:spacing w:before="119"/>
        <w:ind w:left="1256" w:right="0" w:hanging="229"/>
        <w:rPr>
          <w:rFonts w:ascii="Aptos" w:hAnsi="Aptos"/>
          <w:sz w:val="24"/>
          <w:szCs w:val="24"/>
          <w:lang w:val="es-ES_tradnl"/>
        </w:rPr>
      </w:pPr>
      <w:r w:rsidRPr="004E629D">
        <w:rPr>
          <w:rFonts w:ascii="Aptos" w:hAnsi="Aptos"/>
          <w:sz w:val="24"/>
          <w:szCs w:val="24"/>
          <w:lang w:val="es-ES_tradnl"/>
        </w:rPr>
        <w:t>Indemnización por accidentes laborales</w:t>
      </w:r>
    </w:p>
    <w:p w14:paraId="2C261A06" w14:textId="77777777" w:rsidR="00B06016" w:rsidRPr="004E629D" w:rsidRDefault="00B06016" w:rsidP="00B06016">
      <w:pPr>
        <w:pStyle w:val="ListParagraph"/>
        <w:numPr>
          <w:ilvl w:val="0"/>
          <w:numId w:val="4"/>
        </w:numPr>
        <w:tabs>
          <w:tab w:val="left" w:pos="1256"/>
        </w:tabs>
        <w:spacing w:before="119"/>
        <w:ind w:left="1256" w:right="0" w:hanging="229"/>
        <w:rPr>
          <w:rFonts w:ascii="Aptos" w:hAnsi="Aptos"/>
          <w:sz w:val="24"/>
          <w:szCs w:val="24"/>
          <w:lang w:val="es-ES_tradnl"/>
        </w:rPr>
      </w:pPr>
      <w:r w:rsidRPr="004E629D">
        <w:rPr>
          <w:rFonts w:ascii="Aptos" w:hAnsi="Aptos"/>
          <w:sz w:val="24"/>
          <w:szCs w:val="24"/>
          <w:lang w:val="es-ES_tradnl"/>
        </w:rPr>
        <w:t>Beneficios para veteranos</w:t>
      </w:r>
    </w:p>
    <w:p w14:paraId="4CC11313" w14:textId="77777777" w:rsidR="00B06016" w:rsidRPr="004E629D" w:rsidRDefault="00B06016" w:rsidP="00B06016">
      <w:pPr>
        <w:pStyle w:val="ListParagraph"/>
        <w:numPr>
          <w:ilvl w:val="0"/>
          <w:numId w:val="4"/>
        </w:numPr>
        <w:tabs>
          <w:tab w:val="left" w:pos="1256"/>
        </w:tabs>
        <w:spacing w:before="119"/>
        <w:ind w:left="1256" w:right="0" w:hanging="229"/>
        <w:rPr>
          <w:rFonts w:ascii="Aptos" w:hAnsi="Aptos"/>
          <w:sz w:val="24"/>
          <w:szCs w:val="24"/>
          <w:lang w:val="es-ES_tradnl"/>
        </w:rPr>
      </w:pPr>
      <w:r w:rsidRPr="004E629D">
        <w:rPr>
          <w:rFonts w:ascii="Aptos" w:hAnsi="Aptos"/>
          <w:sz w:val="24"/>
          <w:szCs w:val="24"/>
          <w:lang w:val="es-ES_tradnl"/>
        </w:rPr>
        <w:t>Asistencia pública</w:t>
      </w:r>
    </w:p>
    <w:p w14:paraId="260590E7" w14:textId="77777777" w:rsidR="00B06016" w:rsidRPr="004E629D" w:rsidRDefault="00B06016" w:rsidP="00B06016">
      <w:pPr>
        <w:pStyle w:val="ListParagraph"/>
        <w:numPr>
          <w:ilvl w:val="0"/>
          <w:numId w:val="4"/>
        </w:numPr>
        <w:tabs>
          <w:tab w:val="left" w:pos="1256"/>
        </w:tabs>
        <w:spacing w:before="119"/>
        <w:ind w:left="1256" w:right="0" w:hanging="229"/>
        <w:rPr>
          <w:rFonts w:ascii="Aptos" w:hAnsi="Aptos"/>
          <w:sz w:val="24"/>
          <w:szCs w:val="24"/>
          <w:lang w:val="es-ES_tradnl"/>
        </w:rPr>
      </w:pPr>
      <w:r w:rsidRPr="004E629D">
        <w:rPr>
          <w:rFonts w:ascii="Aptos" w:hAnsi="Aptos"/>
          <w:sz w:val="24"/>
          <w:szCs w:val="24"/>
          <w:lang w:val="es-ES_tradnl"/>
        </w:rPr>
        <w:t>Pensión alimentaria</w:t>
      </w:r>
    </w:p>
    <w:p w14:paraId="3E94AEF5" w14:textId="77777777" w:rsidR="00B06016" w:rsidRPr="004E629D" w:rsidRDefault="00B06016" w:rsidP="00B06016">
      <w:pPr>
        <w:pStyle w:val="ListParagraph"/>
        <w:numPr>
          <w:ilvl w:val="0"/>
          <w:numId w:val="4"/>
        </w:numPr>
        <w:tabs>
          <w:tab w:val="left" w:pos="1256"/>
        </w:tabs>
        <w:spacing w:before="119"/>
        <w:ind w:left="1256" w:right="0" w:hanging="229"/>
        <w:rPr>
          <w:rFonts w:ascii="Aptos" w:hAnsi="Aptos"/>
          <w:sz w:val="24"/>
          <w:szCs w:val="24"/>
          <w:lang w:val="es-ES_tradnl"/>
        </w:rPr>
      </w:pPr>
      <w:r w:rsidRPr="004E629D">
        <w:rPr>
          <w:rFonts w:ascii="Aptos" w:hAnsi="Aptos"/>
          <w:sz w:val="24"/>
          <w:szCs w:val="24"/>
          <w:lang w:val="es-ES_tradnl"/>
        </w:rPr>
        <w:t>Manutención de menores</w:t>
      </w:r>
    </w:p>
    <w:p w14:paraId="6908B9F4" w14:textId="77777777" w:rsidR="00B06016" w:rsidRPr="004E629D" w:rsidRDefault="00B06016" w:rsidP="00B06016">
      <w:pPr>
        <w:pStyle w:val="ListParagraph"/>
        <w:numPr>
          <w:ilvl w:val="0"/>
          <w:numId w:val="4"/>
        </w:numPr>
        <w:tabs>
          <w:tab w:val="left" w:pos="1256"/>
        </w:tabs>
        <w:spacing w:before="119"/>
        <w:ind w:left="1256" w:right="0" w:hanging="229"/>
        <w:rPr>
          <w:rFonts w:ascii="Aptos" w:hAnsi="Aptos"/>
          <w:sz w:val="24"/>
          <w:szCs w:val="24"/>
          <w:lang w:val="es-ES_tradnl"/>
        </w:rPr>
      </w:pPr>
      <w:r w:rsidRPr="004E629D">
        <w:rPr>
          <w:rFonts w:ascii="Aptos" w:hAnsi="Aptos"/>
          <w:sz w:val="24"/>
          <w:szCs w:val="24"/>
          <w:lang w:val="es-ES_tradnl"/>
        </w:rPr>
        <w:t>Pensiones</w:t>
      </w:r>
    </w:p>
    <w:p w14:paraId="0ED2B463" w14:textId="77777777" w:rsidR="00B06016" w:rsidRPr="004E629D" w:rsidRDefault="00B06016" w:rsidP="00B06016">
      <w:pPr>
        <w:pStyle w:val="ListParagraph"/>
        <w:numPr>
          <w:ilvl w:val="0"/>
          <w:numId w:val="4"/>
        </w:numPr>
        <w:tabs>
          <w:tab w:val="left" w:pos="1256"/>
        </w:tabs>
        <w:spacing w:before="119"/>
        <w:ind w:left="1256" w:right="0" w:hanging="229"/>
        <w:rPr>
          <w:rFonts w:ascii="Aptos" w:hAnsi="Aptos"/>
          <w:sz w:val="24"/>
          <w:szCs w:val="24"/>
          <w:lang w:val="es-ES_tradnl"/>
        </w:rPr>
      </w:pPr>
      <w:r w:rsidRPr="004E629D">
        <w:rPr>
          <w:rFonts w:ascii="Aptos" w:hAnsi="Aptos"/>
          <w:sz w:val="24"/>
          <w:szCs w:val="24"/>
          <w:lang w:val="es-ES_tradnl"/>
        </w:rPr>
        <w:t>Pagos regulares en concepto de seguro o renta anual</w:t>
      </w:r>
    </w:p>
    <w:p w14:paraId="445EFF46" w14:textId="77777777" w:rsidR="00B06016" w:rsidRPr="004E629D" w:rsidRDefault="00B06016" w:rsidP="00B06016">
      <w:pPr>
        <w:pStyle w:val="ListParagraph"/>
        <w:numPr>
          <w:ilvl w:val="0"/>
          <w:numId w:val="4"/>
        </w:numPr>
        <w:tabs>
          <w:tab w:val="left" w:pos="1256"/>
        </w:tabs>
        <w:spacing w:before="119"/>
        <w:ind w:left="1256" w:right="0" w:hanging="229"/>
        <w:rPr>
          <w:rFonts w:ascii="Aptos" w:hAnsi="Aptos"/>
          <w:sz w:val="24"/>
          <w:szCs w:val="24"/>
          <w:lang w:val="es-ES_tradnl"/>
        </w:rPr>
      </w:pPr>
      <w:r w:rsidRPr="004E629D">
        <w:rPr>
          <w:rFonts w:ascii="Aptos" w:hAnsi="Aptos"/>
          <w:sz w:val="24"/>
          <w:szCs w:val="24"/>
          <w:lang w:val="es-ES_tradnl"/>
        </w:rPr>
        <w:t>Ingresos procedentes de inversiones</w:t>
      </w:r>
    </w:p>
    <w:p w14:paraId="56C30E25" w14:textId="77777777" w:rsidR="009E47CA" w:rsidRDefault="00B06016" w:rsidP="00B06016">
      <w:pPr>
        <w:pStyle w:val="BodyText"/>
        <w:spacing w:before="222" w:line="295" w:lineRule="auto"/>
        <w:ind w:right="133"/>
        <w:rPr>
          <w:rFonts w:ascii="Aptos" w:hAnsi="Aptos"/>
          <w:sz w:val="24"/>
          <w:szCs w:val="24"/>
          <w:lang w:val="es-ES_tradnl"/>
        </w:rPr>
      </w:pPr>
      <w:r w:rsidRPr="004E629D">
        <w:rPr>
          <w:rFonts w:ascii="Aptos" w:hAnsi="Aptos"/>
          <w:sz w:val="24"/>
          <w:szCs w:val="24"/>
          <w:u w:val="single" w:color="182D4A"/>
          <w:lang w:val="es-ES_tradnl"/>
        </w:rPr>
        <w:t>Procedimientos.</w:t>
      </w:r>
      <w:r w:rsidRPr="004E629D">
        <w:rPr>
          <w:rFonts w:ascii="Aptos" w:hAnsi="Aptos"/>
          <w:sz w:val="24"/>
          <w:szCs w:val="24"/>
          <w:lang w:val="es-ES_tradnl"/>
        </w:rPr>
        <w:t xml:space="preserve"> Para solicitar Asistencia financiera, se requiere una Solicitud de asistencia financiera completa. Una Solicitud de asistencia financiera completa incluye, entre otras cosas, información sobre el tamaño de la familia, ingresos y otros recursos, y documentos de respaldo (como declaraciones fiscales recientes, estados bancarios y talones de pago), según se detalla en la Solicitud de asistencia financiera y las instrucciones asociadas. Los residentes indocumentados (personas que no son ciudadanas de los Estados Unidos que viven como residentes en los Estados Unidos) y los pacientes que no tienen un domicilio pueden solicitar Asistencia financiera. No presentar la información y documentación requeridas de manera puntual puede desencadenar la inelegibilidad </w:t>
      </w:r>
    </w:p>
    <w:p w14:paraId="3E404AD4" w14:textId="77777777" w:rsidR="009E47CA" w:rsidRDefault="009E47CA" w:rsidP="00B06016">
      <w:pPr>
        <w:pStyle w:val="BodyText"/>
        <w:spacing w:before="222" w:line="295" w:lineRule="auto"/>
        <w:ind w:right="133"/>
        <w:rPr>
          <w:rFonts w:ascii="Aptos" w:hAnsi="Aptos"/>
          <w:sz w:val="24"/>
          <w:szCs w:val="24"/>
          <w:lang w:val="es-ES_tradnl"/>
        </w:rPr>
      </w:pPr>
    </w:p>
    <w:p w14:paraId="0B73FAF2" w14:textId="14027B49" w:rsidR="00B06016" w:rsidRPr="004E629D" w:rsidRDefault="00B06016" w:rsidP="00B06016">
      <w:pPr>
        <w:pStyle w:val="BodyText"/>
        <w:spacing w:before="222" w:line="295" w:lineRule="auto"/>
        <w:ind w:right="133"/>
        <w:rPr>
          <w:rFonts w:ascii="Aptos" w:hAnsi="Aptos"/>
          <w:w w:val="110"/>
          <w:sz w:val="24"/>
          <w:szCs w:val="24"/>
          <w:lang w:val="es-ES_tradnl"/>
        </w:rPr>
      </w:pPr>
      <w:r w:rsidRPr="004E629D">
        <w:rPr>
          <w:rFonts w:ascii="Aptos" w:hAnsi="Aptos"/>
          <w:sz w:val="24"/>
          <w:szCs w:val="24"/>
          <w:lang w:val="es-ES_tradnl"/>
        </w:rPr>
        <w:t>para la Asistencia financiera.</w:t>
      </w:r>
    </w:p>
    <w:p w14:paraId="7B6ED992" w14:textId="77777777" w:rsidR="00B06016" w:rsidRPr="004E629D" w:rsidRDefault="00B06016" w:rsidP="00B06016">
      <w:pPr>
        <w:pStyle w:val="BodyText"/>
        <w:rPr>
          <w:rFonts w:ascii="Aptos" w:hAnsi="Aptos"/>
          <w:sz w:val="24"/>
          <w:szCs w:val="24"/>
          <w:lang w:val="es-ES_tradnl"/>
        </w:rPr>
      </w:pPr>
      <w:r w:rsidRPr="004E629D">
        <w:rPr>
          <w:rFonts w:ascii="Aptos" w:hAnsi="Aptos"/>
          <w:sz w:val="24"/>
          <w:szCs w:val="24"/>
          <w:u w:val="single"/>
          <w:lang w:val="es-ES_tradnl"/>
        </w:rPr>
        <w:t>Elegibilidad presunta.</w:t>
      </w:r>
      <w:r w:rsidRPr="004E629D">
        <w:rPr>
          <w:rFonts w:ascii="Aptos" w:hAnsi="Aptos"/>
          <w:sz w:val="24"/>
          <w:szCs w:val="24"/>
          <w:lang w:val="es-ES_tradnl"/>
        </w:rPr>
        <w:t xml:space="preserve"> El paciente podría ser considerado presuntamente elegible para la Asistencia financiera, sobre la base de determinados criterios distintos de los ingresos. Estos criterios incluyen lo siguiente (los pacientes deben cumplir al menos uno):</w:t>
      </w:r>
    </w:p>
    <w:p w14:paraId="669DB710" w14:textId="77777777" w:rsidR="00B06016" w:rsidRPr="004E629D" w:rsidRDefault="00B06016" w:rsidP="00B06016">
      <w:pPr>
        <w:pStyle w:val="NoSpacing"/>
        <w:rPr>
          <w:rFonts w:ascii="Aptos" w:hAnsi="Aptos"/>
          <w:sz w:val="24"/>
          <w:szCs w:val="24"/>
          <w:lang w:val="es-ES_tradnl"/>
        </w:rPr>
      </w:pPr>
    </w:p>
    <w:p w14:paraId="4B84D8EC" w14:textId="77777777" w:rsidR="00B06016" w:rsidRPr="004E629D" w:rsidRDefault="00B06016" w:rsidP="00B06016">
      <w:pPr>
        <w:pStyle w:val="ListParagraph"/>
        <w:numPr>
          <w:ilvl w:val="0"/>
          <w:numId w:val="5"/>
        </w:numPr>
        <w:spacing w:before="0"/>
        <w:ind w:right="0"/>
        <w:contextualSpacing/>
        <w:rPr>
          <w:rFonts w:ascii="Aptos" w:hAnsi="Aptos"/>
          <w:sz w:val="24"/>
          <w:szCs w:val="24"/>
          <w:lang w:val="es-ES_tradnl"/>
        </w:rPr>
      </w:pPr>
      <w:r w:rsidRPr="004E629D">
        <w:rPr>
          <w:rFonts w:ascii="Aptos" w:hAnsi="Aptos"/>
          <w:sz w:val="24"/>
          <w:szCs w:val="24"/>
          <w:lang w:val="es-ES_tradnl"/>
        </w:rPr>
        <w:t>Indigencia</w:t>
      </w:r>
    </w:p>
    <w:p w14:paraId="2B9080D3" w14:textId="77777777" w:rsidR="00B06016" w:rsidRPr="004E629D" w:rsidRDefault="00B06016" w:rsidP="00B06016">
      <w:pPr>
        <w:pStyle w:val="ListParagraph"/>
        <w:numPr>
          <w:ilvl w:val="0"/>
          <w:numId w:val="5"/>
        </w:numPr>
        <w:spacing w:before="0"/>
        <w:ind w:right="0"/>
        <w:contextualSpacing/>
        <w:rPr>
          <w:rFonts w:ascii="Aptos" w:hAnsi="Aptos"/>
          <w:sz w:val="24"/>
          <w:szCs w:val="24"/>
          <w:lang w:val="es-ES_tradnl"/>
        </w:rPr>
      </w:pPr>
      <w:r w:rsidRPr="004E629D">
        <w:rPr>
          <w:rFonts w:ascii="Aptos" w:hAnsi="Aptos"/>
          <w:sz w:val="24"/>
          <w:szCs w:val="24"/>
          <w:lang w:val="es-ES_tradnl"/>
        </w:rPr>
        <w:t xml:space="preserve">Incapacidad mental sin una persona que actúe en nombre del paciente </w:t>
      </w:r>
    </w:p>
    <w:p w14:paraId="74FDC31C" w14:textId="77777777" w:rsidR="00B06016" w:rsidRPr="004E629D" w:rsidRDefault="00B06016" w:rsidP="00B06016">
      <w:pPr>
        <w:pStyle w:val="ListParagraph"/>
        <w:numPr>
          <w:ilvl w:val="0"/>
          <w:numId w:val="5"/>
        </w:numPr>
        <w:spacing w:before="0"/>
        <w:ind w:right="0"/>
        <w:contextualSpacing/>
        <w:rPr>
          <w:rFonts w:ascii="Aptos" w:hAnsi="Aptos"/>
          <w:sz w:val="24"/>
          <w:szCs w:val="24"/>
          <w:lang w:val="es-ES_tradnl"/>
        </w:rPr>
      </w:pPr>
      <w:r w:rsidRPr="004E629D">
        <w:rPr>
          <w:rFonts w:ascii="Aptos" w:hAnsi="Aptos"/>
          <w:sz w:val="24"/>
          <w:szCs w:val="24"/>
          <w:lang w:val="es-ES_tradnl"/>
        </w:rPr>
        <w:t>Inscripción en Medicaid del paciente o de un menor de su hogar</w:t>
      </w:r>
    </w:p>
    <w:p w14:paraId="2CF3311B" w14:textId="77777777" w:rsidR="00B06016" w:rsidRPr="004E629D" w:rsidRDefault="00B06016" w:rsidP="00B06016">
      <w:pPr>
        <w:pStyle w:val="ListParagraph"/>
        <w:numPr>
          <w:ilvl w:val="0"/>
          <w:numId w:val="5"/>
        </w:numPr>
        <w:spacing w:before="0"/>
        <w:ind w:right="0"/>
        <w:contextualSpacing/>
        <w:rPr>
          <w:rFonts w:ascii="Aptos" w:hAnsi="Aptos"/>
          <w:sz w:val="24"/>
          <w:szCs w:val="24"/>
          <w:lang w:val="es-ES_tradnl"/>
        </w:rPr>
      </w:pPr>
      <w:r w:rsidRPr="004E629D">
        <w:rPr>
          <w:rFonts w:ascii="Aptos" w:hAnsi="Aptos"/>
          <w:sz w:val="24"/>
          <w:szCs w:val="24"/>
          <w:lang w:val="es-ES_tradnl"/>
        </w:rPr>
        <w:t>Inscripción en otro programa de asistencia pública sujeto a pruebas de ingresos (como el Programa de Nutrición para Mujeres, Bebés y Niños, el Programa de Asistencia Nutricional Complementaria, etc.)</w:t>
      </w:r>
    </w:p>
    <w:p w14:paraId="08AFAAC9" w14:textId="77777777" w:rsidR="00B06016" w:rsidRPr="004E629D" w:rsidRDefault="00B06016" w:rsidP="00B06016">
      <w:pPr>
        <w:pStyle w:val="ListParagraph"/>
        <w:rPr>
          <w:rFonts w:ascii="Aptos" w:hAnsi="Aptos"/>
          <w:sz w:val="24"/>
          <w:szCs w:val="24"/>
          <w:lang w:val="es-ES_tradnl"/>
        </w:rPr>
      </w:pPr>
    </w:p>
    <w:p w14:paraId="5637898E" w14:textId="028C2758" w:rsidR="00B06016" w:rsidRPr="004E629D" w:rsidRDefault="006F0A01" w:rsidP="00B06016">
      <w:pPr>
        <w:pStyle w:val="BodyText"/>
        <w:rPr>
          <w:rFonts w:ascii="Aptos" w:hAnsi="Aptos"/>
          <w:sz w:val="24"/>
          <w:szCs w:val="24"/>
          <w:lang w:val="es-ES_tradnl"/>
        </w:rPr>
      </w:pPr>
      <w:r w:rsidRPr="004E629D">
        <w:rPr>
          <w:rFonts w:ascii="Aptos" w:hAnsi="Aptos"/>
          <w:sz w:val="24"/>
          <w:szCs w:val="24"/>
          <w:lang w:val="es-ES_tradnl"/>
        </w:rPr>
        <w:t>Maria Parham Health / Maria Parham Franklin</w:t>
      </w:r>
      <w:r w:rsidR="00B06016" w:rsidRPr="004E629D">
        <w:rPr>
          <w:rFonts w:ascii="Aptos" w:hAnsi="Aptos"/>
          <w:sz w:val="24"/>
          <w:szCs w:val="24"/>
          <w:lang w:val="es-ES_tradnl"/>
        </w:rPr>
        <w:t xml:space="preserve"> hará todos los esfuerzos posibles para evaluar a los pacientes para la elegibilidad presunta no basada en ingresos e informarles los resultados en los siguientes plazos:</w:t>
      </w:r>
    </w:p>
    <w:p w14:paraId="2BA4F0B1" w14:textId="77777777" w:rsidR="00B06016" w:rsidRPr="004E629D" w:rsidRDefault="00B06016" w:rsidP="00B06016">
      <w:pPr>
        <w:pStyle w:val="BodyText"/>
        <w:numPr>
          <w:ilvl w:val="0"/>
          <w:numId w:val="6"/>
        </w:numPr>
        <w:spacing w:before="119"/>
        <w:rPr>
          <w:rFonts w:ascii="Aptos" w:hAnsi="Aptos"/>
          <w:b/>
          <w:bCs/>
          <w:sz w:val="24"/>
          <w:szCs w:val="24"/>
          <w:lang w:val="es-ES_tradnl"/>
        </w:rPr>
      </w:pPr>
      <w:r w:rsidRPr="004E629D">
        <w:rPr>
          <w:rFonts w:ascii="Aptos" w:hAnsi="Aptos"/>
          <w:b/>
          <w:sz w:val="24"/>
          <w:szCs w:val="24"/>
          <w:lang w:val="es-ES_tradnl"/>
        </w:rPr>
        <w:t>Servicios de departamentos que no tratan emergencias:</w:t>
      </w:r>
    </w:p>
    <w:p w14:paraId="71B2838D" w14:textId="77777777" w:rsidR="00B06016" w:rsidRPr="004E629D" w:rsidRDefault="00B06016" w:rsidP="00B06016">
      <w:pPr>
        <w:pStyle w:val="BodyText"/>
        <w:rPr>
          <w:rFonts w:ascii="Aptos" w:hAnsi="Aptos"/>
          <w:sz w:val="24"/>
          <w:szCs w:val="24"/>
          <w:lang w:val="es-ES_tradnl"/>
        </w:rPr>
      </w:pPr>
      <w:r w:rsidRPr="004E629D">
        <w:rPr>
          <w:rFonts w:ascii="Aptos" w:hAnsi="Aptos"/>
          <w:sz w:val="24"/>
          <w:szCs w:val="24"/>
          <w:lang w:val="es-ES_tradnl"/>
        </w:rPr>
        <w:t>Evaluación: antes del ingreso o en el momento del ingreso, si es posible</w:t>
      </w:r>
    </w:p>
    <w:p w14:paraId="686D9C79" w14:textId="77777777" w:rsidR="00B06016" w:rsidRPr="004E629D" w:rsidRDefault="00B06016" w:rsidP="00B06016">
      <w:pPr>
        <w:pStyle w:val="BodyText"/>
        <w:rPr>
          <w:rFonts w:ascii="Aptos" w:hAnsi="Aptos"/>
          <w:sz w:val="24"/>
          <w:szCs w:val="24"/>
          <w:lang w:val="es-ES_tradnl"/>
        </w:rPr>
      </w:pPr>
      <w:r w:rsidRPr="004E629D">
        <w:rPr>
          <w:rFonts w:ascii="Aptos" w:hAnsi="Aptos"/>
          <w:sz w:val="24"/>
          <w:szCs w:val="24"/>
          <w:lang w:val="es-ES_tradnl"/>
        </w:rPr>
        <w:t>Notificación: antes del alta, si es posible</w:t>
      </w:r>
    </w:p>
    <w:p w14:paraId="5018CFA8" w14:textId="77777777" w:rsidR="00B06016" w:rsidRPr="004E629D" w:rsidRDefault="00B06016" w:rsidP="00B06016">
      <w:pPr>
        <w:pStyle w:val="BodyText"/>
        <w:numPr>
          <w:ilvl w:val="0"/>
          <w:numId w:val="6"/>
        </w:numPr>
        <w:spacing w:before="119"/>
        <w:rPr>
          <w:rFonts w:ascii="Aptos" w:hAnsi="Aptos"/>
          <w:b/>
          <w:bCs/>
          <w:sz w:val="24"/>
          <w:szCs w:val="24"/>
          <w:lang w:val="es-ES_tradnl"/>
        </w:rPr>
      </w:pPr>
      <w:r w:rsidRPr="004E629D">
        <w:rPr>
          <w:rFonts w:ascii="Aptos" w:hAnsi="Aptos"/>
          <w:b/>
          <w:sz w:val="24"/>
          <w:szCs w:val="24"/>
          <w:lang w:val="es-ES_tradnl"/>
        </w:rPr>
        <w:t>Servicios del departamento de emergencias:</w:t>
      </w:r>
    </w:p>
    <w:p w14:paraId="7F215C74" w14:textId="77777777" w:rsidR="00FD0671" w:rsidRDefault="00FD0671" w:rsidP="000B30ED">
      <w:pPr>
        <w:pStyle w:val="BodyText"/>
        <w:rPr>
          <w:rFonts w:ascii="Aptos" w:hAnsi="Aptos"/>
          <w:sz w:val="24"/>
          <w:szCs w:val="24"/>
          <w:lang w:val="es-ES_tradnl"/>
        </w:rPr>
      </w:pPr>
    </w:p>
    <w:p w14:paraId="562CF20F" w14:textId="70FEEEF0" w:rsidR="000B30ED" w:rsidRPr="004E629D" w:rsidRDefault="000B30ED" w:rsidP="000B30ED">
      <w:pPr>
        <w:pStyle w:val="BodyText"/>
        <w:rPr>
          <w:rFonts w:ascii="Aptos" w:hAnsi="Aptos"/>
          <w:sz w:val="24"/>
          <w:szCs w:val="24"/>
          <w:lang w:val="es-ES_tradnl"/>
        </w:rPr>
      </w:pPr>
      <w:r w:rsidRPr="004E629D">
        <w:rPr>
          <w:rFonts w:ascii="Aptos" w:hAnsi="Aptos"/>
          <w:sz w:val="24"/>
          <w:szCs w:val="24"/>
          <w:lang w:val="es-ES_tradnl"/>
        </w:rPr>
        <w:t>Evaluación: lo antes posible y antes del alta, si es posible</w:t>
      </w:r>
    </w:p>
    <w:p w14:paraId="154F0756" w14:textId="77777777" w:rsidR="000B30ED" w:rsidRPr="004E629D" w:rsidRDefault="000B30ED" w:rsidP="000B30ED">
      <w:pPr>
        <w:pStyle w:val="BodyText"/>
        <w:rPr>
          <w:rFonts w:ascii="Aptos" w:hAnsi="Aptos"/>
          <w:sz w:val="24"/>
          <w:szCs w:val="24"/>
          <w:lang w:val="es-ES_tradnl"/>
        </w:rPr>
      </w:pPr>
      <w:r w:rsidRPr="004E629D">
        <w:rPr>
          <w:rFonts w:ascii="Aptos" w:hAnsi="Aptos"/>
          <w:sz w:val="24"/>
          <w:szCs w:val="24"/>
          <w:lang w:val="es-ES_tradnl"/>
        </w:rPr>
        <w:t xml:space="preserve">Notificación: antes de emitir una factura al paciente, si es posible </w:t>
      </w:r>
    </w:p>
    <w:p w14:paraId="13D93893" w14:textId="77777777" w:rsidR="000B30ED" w:rsidRPr="004E629D" w:rsidRDefault="000B30ED" w:rsidP="000B30ED">
      <w:pPr>
        <w:pStyle w:val="BodyText"/>
        <w:rPr>
          <w:rFonts w:ascii="Aptos" w:hAnsi="Aptos"/>
          <w:sz w:val="24"/>
          <w:szCs w:val="24"/>
          <w:lang w:val="es-ES_tradnl"/>
        </w:rPr>
      </w:pPr>
    </w:p>
    <w:p w14:paraId="0F5C1A13" w14:textId="77777777" w:rsidR="000B30ED" w:rsidRPr="004E629D" w:rsidRDefault="000B30ED" w:rsidP="000B30ED">
      <w:pPr>
        <w:pStyle w:val="BodyText"/>
        <w:rPr>
          <w:rFonts w:ascii="Aptos" w:hAnsi="Aptos"/>
          <w:sz w:val="24"/>
          <w:szCs w:val="24"/>
          <w:lang w:val="es-ES_tradnl"/>
        </w:rPr>
      </w:pPr>
      <w:r w:rsidRPr="004E629D">
        <w:rPr>
          <w:rFonts w:ascii="Aptos" w:hAnsi="Aptos"/>
          <w:sz w:val="24"/>
          <w:szCs w:val="24"/>
          <w:highlight w:val="yellow"/>
        </w:rPr>
        <w:t>Para los pacientes que se determine que son presuntamente elegibles para recibir asistencia financiera, no se requerirá documentación.</w:t>
      </w:r>
    </w:p>
    <w:p w14:paraId="5B6106FE" w14:textId="6C4FEF8A" w:rsidR="000B30ED" w:rsidRPr="004E629D" w:rsidRDefault="000B30ED" w:rsidP="000B30ED">
      <w:pPr>
        <w:pStyle w:val="BodyText"/>
        <w:spacing w:before="222" w:line="295" w:lineRule="auto"/>
        <w:ind w:right="133"/>
        <w:rPr>
          <w:rFonts w:ascii="Aptos" w:hAnsi="Aptos"/>
          <w:b/>
          <w:sz w:val="24"/>
          <w:szCs w:val="24"/>
          <w:lang w:val="es-ES_tradnl"/>
        </w:rPr>
      </w:pPr>
      <w:r w:rsidRPr="004E629D">
        <w:rPr>
          <w:rFonts w:ascii="Aptos" w:hAnsi="Aptos"/>
          <w:sz w:val="24"/>
          <w:szCs w:val="24"/>
          <w:lang w:val="es-ES_tradnl"/>
        </w:rPr>
        <w:t xml:space="preserve">Puede obtener copias de esta Política, un resumen con vocabulario sencillo de esta Política, la Solicitud de asistencia financiera y las instrucciones asociadas sin costo, previa solicitud por escrito a los Servicios Financieros para Pacientes, a </w:t>
      </w:r>
      <w:r w:rsidR="00B52D2C" w:rsidRPr="004E629D">
        <w:rPr>
          <w:rFonts w:ascii="Aptos" w:hAnsi="Aptos"/>
          <w:b/>
          <w:sz w:val="24"/>
          <w:szCs w:val="24"/>
          <w:lang w:val="es-ES_tradnl"/>
        </w:rPr>
        <w:t>566 Ruin Creek Rd, Henderson, NC 27536</w:t>
      </w:r>
      <w:r w:rsidRPr="004E629D">
        <w:rPr>
          <w:rFonts w:ascii="Aptos" w:hAnsi="Aptos"/>
          <w:b/>
          <w:sz w:val="24"/>
          <w:szCs w:val="24"/>
          <w:lang w:val="es-ES_tradnl"/>
        </w:rPr>
        <w:t xml:space="preserve">. </w:t>
      </w:r>
      <w:r w:rsidRPr="004E629D">
        <w:rPr>
          <w:rFonts w:ascii="Aptos" w:hAnsi="Aptos"/>
          <w:sz w:val="24"/>
          <w:szCs w:val="24"/>
          <w:lang w:val="es-ES_tradnl"/>
        </w:rPr>
        <w:t xml:space="preserve">Además, están disponibles en la sala de emergencia y en las áreas de ingreso del hospital. También puede descargar los documentos en </w:t>
      </w:r>
      <w:r w:rsidR="00F34436" w:rsidRPr="004E629D">
        <w:rPr>
          <w:rFonts w:ascii="Aptos" w:hAnsi="Aptos"/>
          <w:b/>
          <w:sz w:val="24"/>
          <w:szCs w:val="24"/>
          <w:u w:val="single"/>
          <w:lang w:val="es-ES_tradnl"/>
        </w:rPr>
        <w:t>www.mariaparham.com</w:t>
      </w:r>
      <w:r w:rsidRPr="004E629D">
        <w:rPr>
          <w:rFonts w:ascii="Aptos" w:hAnsi="Aptos"/>
          <w:sz w:val="24"/>
          <w:szCs w:val="24"/>
          <w:lang w:val="es-ES_tradnl"/>
        </w:rPr>
        <w:t xml:space="preserve">. Puede obtener más información sobre esta Política de Asistencia Financiera y ayuda con el proceso de solicitud por teléfono, llamando al </w:t>
      </w:r>
      <w:r w:rsidR="00F267ED" w:rsidRPr="004E629D">
        <w:rPr>
          <w:rFonts w:ascii="Aptos" w:hAnsi="Aptos"/>
          <w:b/>
          <w:sz w:val="24"/>
          <w:szCs w:val="24"/>
          <w:lang w:val="es-ES_tradnl"/>
        </w:rPr>
        <w:t>252-436-1863</w:t>
      </w:r>
      <w:r w:rsidRPr="004E629D">
        <w:rPr>
          <w:rFonts w:ascii="Aptos" w:hAnsi="Aptos"/>
          <w:sz w:val="24"/>
          <w:szCs w:val="24"/>
          <w:lang w:val="es-ES_tradnl"/>
        </w:rPr>
        <w:t xml:space="preserve">, o en persona, durante el horario de atención normal o con cita, a través de uno de los asesores financieros de </w:t>
      </w:r>
      <w:r w:rsidR="001D08F8" w:rsidRPr="004E629D">
        <w:rPr>
          <w:rFonts w:ascii="Aptos" w:hAnsi="Aptos"/>
          <w:sz w:val="24"/>
          <w:szCs w:val="24"/>
        </w:rPr>
        <w:t>566 Ruin Creek Rd, Henderson, NC 27536 / 100 Hospital Dr, Louisburg, NC 27549</w:t>
      </w:r>
      <w:r w:rsidRPr="004E629D">
        <w:rPr>
          <w:rFonts w:ascii="Aptos" w:hAnsi="Aptos"/>
          <w:b/>
          <w:sz w:val="24"/>
          <w:szCs w:val="24"/>
          <w:lang w:val="es-ES_tradnl"/>
        </w:rPr>
        <w:t>.</w:t>
      </w:r>
    </w:p>
    <w:p w14:paraId="06A5AEEE" w14:textId="77777777" w:rsidR="005A7B55" w:rsidRDefault="000B30ED" w:rsidP="000B30ED">
      <w:pPr>
        <w:pStyle w:val="BodyText"/>
        <w:spacing w:before="150" w:line="295" w:lineRule="auto"/>
        <w:ind w:right="175"/>
        <w:rPr>
          <w:rFonts w:ascii="Aptos" w:hAnsi="Aptos"/>
          <w:sz w:val="24"/>
          <w:szCs w:val="24"/>
          <w:lang w:val="es-ES_tradnl"/>
        </w:rPr>
      </w:pPr>
      <w:r w:rsidRPr="004E629D">
        <w:rPr>
          <w:rFonts w:ascii="Aptos" w:hAnsi="Aptos"/>
          <w:sz w:val="24"/>
          <w:szCs w:val="24"/>
          <w:lang w:val="es-ES_tradnl"/>
        </w:rPr>
        <w:t xml:space="preserve">Las Solicitudes de asistencia financiera completas se deben entregar a un asesor financiero de </w:t>
      </w:r>
      <w:r w:rsidR="00B9449E" w:rsidRPr="004E629D">
        <w:rPr>
          <w:rFonts w:ascii="Aptos" w:hAnsi="Aptos"/>
          <w:sz w:val="24"/>
          <w:szCs w:val="24"/>
        </w:rPr>
        <w:t>Maria Parham Health / Maria Parham Franklin – Financial Counselor at 566 Ruin Creek Rd, Henderson, NC 27536 / 100 Hospital Dr, Louisburg, NC 27549</w:t>
      </w:r>
      <w:r w:rsidRPr="004E629D">
        <w:rPr>
          <w:rFonts w:ascii="Aptos" w:hAnsi="Aptos"/>
          <w:b/>
          <w:sz w:val="24"/>
          <w:szCs w:val="24"/>
          <w:lang w:val="es-ES_tradnl"/>
        </w:rPr>
        <w:t xml:space="preserve">. </w:t>
      </w:r>
      <w:r w:rsidRPr="004E629D">
        <w:rPr>
          <w:rFonts w:ascii="Aptos" w:hAnsi="Aptos"/>
          <w:sz w:val="24"/>
          <w:szCs w:val="24"/>
          <w:lang w:val="es-ES_tradnl"/>
        </w:rPr>
        <w:t xml:space="preserve">Un asesor financiero revisará la solicitud para </w:t>
      </w:r>
    </w:p>
    <w:p w14:paraId="04335A57" w14:textId="77777777" w:rsidR="005A7B55" w:rsidRDefault="005A7B55" w:rsidP="000B30ED">
      <w:pPr>
        <w:pStyle w:val="BodyText"/>
        <w:spacing w:before="150" w:line="295" w:lineRule="auto"/>
        <w:ind w:right="175"/>
        <w:rPr>
          <w:rFonts w:ascii="Aptos" w:hAnsi="Aptos"/>
          <w:sz w:val="24"/>
          <w:szCs w:val="24"/>
          <w:lang w:val="es-ES_tradnl"/>
        </w:rPr>
      </w:pPr>
    </w:p>
    <w:p w14:paraId="582F5C33" w14:textId="1D348DDF" w:rsidR="009E47CA" w:rsidRDefault="000B30ED" w:rsidP="000B30ED">
      <w:pPr>
        <w:pStyle w:val="BodyText"/>
        <w:spacing w:before="150" w:line="295" w:lineRule="auto"/>
        <w:ind w:right="175"/>
        <w:rPr>
          <w:rFonts w:ascii="Aptos" w:hAnsi="Aptos"/>
          <w:sz w:val="24"/>
          <w:szCs w:val="24"/>
          <w:lang w:val="es-ES_tradnl"/>
        </w:rPr>
      </w:pPr>
      <w:r w:rsidRPr="004E629D">
        <w:rPr>
          <w:rFonts w:ascii="Aptos" w:hAnsi="Aptos"/>
          <w:sz w:val="24"/>
          <w:szCs w:val="24"/>
          <w:lang w:val="es-ES_tradnl"/>
        </w:rPr>
        <w:t xml:space="preserve">determinar si está completa y para tomar una decisión preliminar respecto de la elegibilidad. Luego, enviará la solicitud al gerente o director de Acceso del Paciente y al director de Servicios Financieros </w:t>
      </w:r>
    </w:p>
    <w:p w14:paraId="3456320A" w14:textId="11572B93" w:rsidR="000B30ED" w:rsidRPr="004E629D" w:rsidRDefault="000B30ED" w:rsidP="000B30ED">
      <w:pPr>
        <w:pStyle w:val="BodyText"/>
        <w:spacing w:before="150" w:line="295" w:lineRule="auto"/>
        <w:ind w:right="175"/>
        <w:rPr>
          <w:rFonts w:ascii="Aptos" w:hAnsi="Aptos"/>
          <w:sz w:val="24"/>
          <w:szCs w:val="24"/>
          <w:lang w:val="es-ES_tradnl"/>
        </w:rPr>
      </w:pPr>
      <w:r w:rsidRPr="004E629D">
        <w:rPr>
          <w:rFonts w:ascii="Aptos" w:hAnsi="Aptos"/>
          <w:sz w:val="24"/>
          <w:szCs w:val="24"/>
          <w:lang w:val="es-ES_tradnl"/>
        </w:rPr>
        <w:t>para Pacientes (o las personas designadas respectivas) para confirmar la elegibilidad en función de los lineamientos y otros términos que se establecen en esta Política. Si los cargos brutos en la cuenta de un paciente superan los $10,000, el regulador o el director financiero del hospital (o la persona que este designe) también revisarán la decisión sobre elegibilidad. Una vez que se haya tomado una decisión sobre la elegibilidad, los Servicios Financieros para Pacientes enviarán una carta de decisión al paciente.</w:t>
      </w:r>
    </w:p>
    <w:p w14:paraId="69CA7575" w14:textId="77777777" w:rsidR="000B30ED" w:rsidRPr="004E629D" w:rsidRDefault="000B30ED" w:rsidP="000B30ED">
      <w:pPr>
        <w:pStyle w:val="BodyText"/>
        <w:spacing w:line="295" w:lineRule="auto"/>
        <w:rPr>
          <w:rFonts w:ascii="Aptos" w:hAnsi="Aptos"/>
          <w:sz w:val="24"/>
          <w:szCs w:val="24"/>
          <w:lang w:val="es-ES_tradnl"/>
        </w:rPr>
      </w:pPr>
      <w:r w:rsidRPr="004E629D">
        <w:rPr>
          <w:rFonts w:ascii="Aptos" w:hAnsi="Aptos"/>
          <w:sz w:val="24"/>
          <w:szCs w:val="24"/>
          <w:lang w:val="es-ES_tradnl"/>
        </w:rPr>
        <w:t>Por lo general, las decisiones se completan en un plazo de 30 días hábiles tras su recepción. Para los pacientes considerados elegibles para la Asistencia financiera de conformidad con esta política, el regulador o director financiero del hospital revisará rebajas específicas de $50,000 o más antes de procesarlas.</w:t>
      </w:r>
    </w:p>
    <w:p w14:paraId="170902D1" w14:textId="77777777" w:rsidR="000B30ED" w:rsidRPr="004E629D" w:rsidRDefault="000B30ED" w:rsidP="000B30ED">
      <w:pPr>
        <w:pStyle w:val="BodyText"/>
        <w:spacing w:before="149" w:line="295" w:lineRule="auto"/>
        <w:ind w:right="99"/>
        <w:rPr>
          <w:rFonts w:ascii="Aptos" w:hAnsi="Aptos"/>
          <w:sz w:val="24"/>
          <w:szCs w:val="24"/>
          <w:lang w:val="es-ES_tradnl"/>
        </w:rPr>
      </w:pPr>
      <w:r w:rsidRPr="004E629D">
        <w:rPr>
          <w:rFonts w:ascii="Aptos" w:hAnsi="Aptos"/>
          <w:sz w:val="24"/>
          <w:szCs w:val="24"/>
          <w:lang w:val="es-ES_tradnl"/>
        </w:rPr>
        <w:t>La información de la Solicitud de asistencia financiera de un paciente, por lo general, se puede usar por un máximo de 12 meses a partir de la fecha en que se presenta la Solicitud de asistencia financiera completa, a menos que se hayan producido cambios en el estado financiero del paciente. La decisión de que un paciente es elegible para la Asistencia financiera, por lo general, estará vigente durante el mismo plazo.</w:t>
      </w:r>
    </w:p>
    <w:p w14:paraId="4FBDC253" w14:textId="77777777" w:rsidR="000B30ED" w:rsidRPr="004E629D" w:rsidRDefault="000B30ED" w:rsidP="000B30ED">
      <w:pPr>
        <w:pStyle w:val="BodyText"/>
        <w:spacing w:before="150" w:line="295" w:lineRule="auto"/>
        <w:ind w:right="329"/>
        <w:rPr>
          <w:rFonts w:ascii="Aptos" w:hAnsi="Aptos"/>
          <w:sz w:val="24"/>
          <w:szCs w:val="24"/>
          <w:lang w:val="es-ES_tradnl"/>
        </w:rPr>
      </w:pPr>
      <w:r w:rsidRPr="004E629D">
        <w:rPr>
          <w:rFonts w:ascii="Aptos" w:hAnsi="Aptos"/>
          <w:sz w:val="24"/>
          <w:szCs w:val="24"/>
          <w:u w:val="single" w:color="182D4A"/>
          <w:lang w:val="es-ES_tradnl"/>
        </w:rPr>
        <w:t>Responsabilidades del paciente</w:t>
      </w:r>
      <w:r w:rsidRPr="004E629D">
        <w:rPr>
          <w:rFonts w:ascii="Aptos" w:hAnsi="Aptos"/>
          <w:sz w:val="24"/>
          <w:szCs w:val="24"/>
          <w:lang w:val="es-ES_tradnl"/>
        </w:rPr>
        <w:t>. Los pacientes deben cooperar con los Servicios Financieros para Pacientes de la siguiente manera:</w:t>
      </w:r>
    </w:p>
    <w:p w14:paraId="3DD4BF0C" w14:textId="77777777" w:rsidR="000B30ED" w:rsidRPr="004E629D" w:rsidRDefault="000B30ED" w:rsidP="000B30ED">
      <w:pPr>
        <w:pStyle w:val="ListParagraph"/>
        <w:numPr>
          <w:ilvl w:val="0"/>
          <w:numId w:val="4"/>
        </w:numPr>
        <w:tabs>
          <w:tab w:val="left" w:pos="1256"/>
          <w:tab w:val="left" w:pos="1258"/>
        </w:tabs>
        <w:spacing w:before="137" w:line="268" w:lineRule="auto"/>
        <w:ind w:right="102"/>
        <w:rPr>
          <w:rFonts w:ascii="Aptos" w:hAnsi="Aptos"/>
          <w:sz w:val="24"/>
          <w:szCs w:val="24"/>
          <w:lang w:val="es-ES_tradnl"/>
        </w:rPr>
      </w:pPr>
      <w:r w:rsidRPr="004E629D">
        <w:rPr>
          <w:rFonts w:ascii="Aptos" w:hAnsi="Aptos"/>
          <w:sz w:val="24"/>
          <w:szCs w:val="24"/>
          <w:lang w:val="es-ES_tradnl"/>
        </w:rPr>
        <w:t>Presentando una Solicitud de asistencia financiera completa con la documentación de respaldo (consulte las instrucciones para Solicitudes de asistencia financiera para acceder a una lista de los documentos necesarios).</w:t>
      </w:r>
    </w:p>
    <w:p w14:paraId="25B2017C" w14:textId="77777777" w:rsidR="000B30ED" w:rsidRPr="004E629D" w:rsidRDefault="000B30ED" w:rsidP="000B30ED">
      <w:pPr>
        <w:pStyle w:val="ListParagraph"/>
        <w:numPr>
          <w:ilvl w:val="0"/>
          <w:numId w:val="4"/>
        </w:numPr>
        <w:tabs>
          <w:tab w:val="left" w:pos="1256"/>
        </w:tabs>
        <w:spacing w:before="89"/>
        <w:ind w:left="1256" w:right="0" w:hanging="229"/>
        <w:rPr>
          <w:rFonts w:ascii="Aptos" w:hAnsi="Aptos"/>
          <w:sz w:val="24"/>
          <w:szCs w:val="24"/>
          <w:lang w:val="es-ES_tradnl"/>
        </w:rPr>
      </w:pPr>
      <w:r w:rsidRPr="004E629D">
        <w:rPr>
          <w:rFonts w:ascii="Aptos" w:hAnsi="Aptos"/>
          <w:sz w:val="24"/>
          <w:szCs w:val="24"/>
          <w:lang w:val="es-ES_tradnl"/>
        </w:rPr>
        <w:t>Proporcionando información actualizada o de seguimiento, según la solicite el personal de los Servicios Financieros para Pacientes.</w:t>
      </w:r>
    </w:p>
    <w:p w14:paraId="38EFA885" w14:textId="77777777" w:rsidR="000B30ED" w:rsidRPr="004E629D" w:rsidRDefault="000B30ED" w:rsidP="000B30ED">
      <w:pPr>
        <w:pStyle w:val="ListParagraph"/>
        <w:numPr>
          <w:ilvl w:val="0"/>
          <w:numId w:val="4"/>
        </w:numPr>
        <w:tabs>
          <w:tab w:val="left" w:pos="1256"/>
          <w:tab w:val="left" w:pos="1258"/>
        </w:tabs>
        <w:spacing w:before="119" w:line="268" w:lineRule="auto"/>
        <w:ind w:right="482"/>
        <w:rPr>
          <w:rFonts w:ascii="Aptos" w:hAnsi="Aptos"/>
          <w:sz w:val="24"/>
          <w:szCs w:val="24"/>
          <w:lang w:val="es-ES_tradnl"/>
        </w:rPr>
      </w:pPr>
      <w:r w:rsidRPr="004E629D">
        <w:rPr>
          <w:rFonts w:ascii="Aptos" w:hAnsi="Aptos"/>
          <w:sz w:val="24"/>
          <w:szCs w:val="24"/>
          <w:lang w:val="es-ES_tradnl"/>
        </w:rPr>
        <w:t>Brindando asistencia y documentos al personal de los Servicios Financieros para Pacientes a fin de buscar otras fuentes de financiación para el paciente, lo que incluye, entre otras cosas, programas gubernamentales, seguros de salud y subsidios del seguro de salud, y seguros de vehículos motorizados y de responsabilidad civil.</w:t>
      </w:r>
    </w:p>
    <w:p w14:paraId="5656B839" w14:textId="77777777" w:rsidR="00AF2321" w:rsidRPr="004E629D" w:rsidRDefault="00AF2321" w:rsidP="00AF2321">
      <w:pPr>
        <w:pStyle w:val="ListParagraph"/>
        <w:numPr>
          <w:ilvl w:val="0"/>
          <w:numId w:val="4"/>
        </w:numPr>
        <w:tabs>
          <w:tab w:val="left" w:pos="1256"/>
        </w:tabs>
        <w:spacing w:before="89"/>
        <w:ind w:left="1256" w:right="0" w:hanging="229"/>
        <w:rPr>
          <w:rFonts w:ascii="Aptos" w:hAnsi="Aptos"/>
          <w:sz w:val="24"/>
          <w:szCs w:val="24"/>
          <w:lang w:val="es-ES_tradnl"/>
        </w:rPr>
      </w:pPr>
      <w:r w:rsidRPr="004E629D">
        <w:rPr>
          <w:rFonts w:ascii="Aptos" w:hAnsi="Aptos"/>
          <w:sz w:val="24"/>
          <w:szCs w:val="24"/>
          <w:lang w:val="es-ES_tradnl"/>
        </w:rPr>
        <w:t>Respetando los planes de pago alternativos acordados.</w:t>
      </w:r>
    </w:p>
    <w:p w14:paraId="57E64F0D" w14:textId="77777777" w:rsidR="00AF2321" w:rsidRPr="004E629D" w:rsidRDefault="00AF2321" w:rsidP="00AF2321">
      <w:pPr>
        <w:pStyle w:val="ListParagraph"/>
        <w:tabs>
          <w:tab w:val="left" w:pos="1256"/>
        </w:tabs>
        <w:spacing w:before="89"/>
        <w:ind w:left="1256"/>
        <w:rPr>
          <w:rFonts w:ascii="Aptos" w:hAnsi="Aptos"/>
          <w:sz w:val="24"/>
          <w:szCs w:val="24"/>
          <w:lang w:val="es-ES_tradnl"/>
        </w:rPr>
      </w:pPr>
    </w:p>
    <w:p w14:paraId="0C4BA90C" w14:textId="77777777" w:rsidR="00FD0671" w:rsidRDefault="00FD0671" w:rsidP="00AF2321">
      <w:pPr>
        <w:spacing w:before="206" w:line="254" w:lineRule="auto"/>
        <w:ind w:left="329"/>
        <w:rPr>
          <w:rFonts w:ascii="Aptos" w:hAnsi="Aptos"/>
          <w:b/>
          <w:lang w:val="es-ES_tradnl"/>
        </w:rPr>
      </w:pPr>
      <w:bookmarkStart w:id="2" w:name="ACTIONS_THAT_MAY_BE_TAKEN_IN_THE_EVENT_O"/>
      <w:bookmarkEnd w:id="2"/>
    </w:p>
    <w:p w14:paraId="33B6720A" w14:textId="77777777" w:rsidR="00FD0671" w:rsidRDefault="00FD0671" w:rsidP="00AF2321">
      <w:pPr>
        <w:spacing w:before="206" w:line="254" w:lineRule="auto"/>
        <w:ind w:left="329"/>
        <w:rPr>
          <w:rFonts w:ascii="Aptos" w:hAnsi="Aptos"/>
          <w:b/>
          <w:lang w:val="es-ES_tradnl"/>
        </w:rPr>
      </w:pPr>
    </w:p>
    <w:p w14:paraId="6AA16E61" w14:textId="77777777" w:rsidR="00FD0671" w:rsidRDefault="00FD0671" w:rsidP="00AF2321">
      <w:pPr>
        <w:spacing w:before="206" w:line="254" w:lineRule="auto"/>
        <w:ind w:left="329"/>
        <w:rPr>
          <w:rFonts w:ascii="Aptos" w:hAnsi="Aptos"/>
          <w:b/>
          <w:lang w:val="es-ES_tradnl"/>
        </w:rPr>
      </w:pPr>
    </w:p>
    <w:p w14:paraId="39739897" w14:textId="5907198E" w:rsidR="00AF2321" w:rsidRPr="004E629D" w:rsidRDefault="00AF2321" w:rsidP="00AF2321">
      <w:pPr>
        <w:spacing w:before="206" w:line="254" w:lineRule="auto"/>
        <w:ind w:left="329"/>
        <w:rPr>
          <w:rFonts w:ascii="Aptos" w:hAnsi="Aptos"/>
          <w:b/>
          <w:lang w:val="es-ES_tradnl"/>
        </w:rPr>
      </w:pPr>
      <w:r w:rsidRPr="004E629D">
        <w:rPr>
          <w:rFonts w:ascii="Aptos" w:hAnsi="Aptos"/>
          <w:b/>
          <w:lang w:val="es-ES_tradnl"/>
        </w:rPr>
        <w:t>MEDIDAS QUE SE PUEDEN TOMAR EN CASO DE IMPAGO:</w:t>
      </w:r>
    </w:p>
    <w:p w14:paraId="3E4C09FB" w14:textId="77777777" w:rsidR="00C27DC7" w:rsidRPr="004E629D" w:rsidRDefault="001A0758" w:rsidP="00C27DC7">
      <w:pPr>
        <w:spacing w:before="166" w:line="295" w:lineRule="auto"/>
        <w:ind w:left="449"/>
        <w:rPr>
          <w:rFonts w:ascii="Aptos" w:hAnsi="Aptos"/>
        </w:rPr>
      </w:pPr>
      <w:r w:rsidRPr="004E629D">
        <w:rPr>
          <w:rFonts w:ascii="Aptos" w:hAnsi="Aptos"/>
          <w:b/>
        </w:rPr>
        <w:t>Maria Parham Health / Maria Parham Franklin</w:t>
      </w:r>
      <w:r w:rsidRPr="004E629D">
        <w:rPr>
          <w:rFonts w:ascii="Aptos" w:hAnsi="Aptos"/>
          <w:b/>
          <w:lang w:val="es-ES_tradnl"/>
        </w:rPr>
        <w:t xml:space="preserve"> </w:t>
      </w:r>
      <w:r w:rsidR="00AF2321" w:rsidRPr="004E629D">
        <w:rPr>
          <w:rFonts w:ascii="Aptos" w:hAnsi="Aptos"/>
          <w:lang w:val="es-ES_tradnl"/>
        </w:rPr>
        <w:t xml:space="preserve">tiene una Política de Facturación y Cobro por separado que describe las medidas que se pueden tomar en caso de impago. Puede descargar una copia de la Política de Facturación y Cobro en </w:t>
      </w:r>
      <w:r w:rsidR="00104300" w:rsidRPr="004E629D">
        <w:rPr>
          <w:rFonts w:ascii="Aptos" w:hAnsi="Aptos"/>
          <w:b/>
          <w:u w:val="single"/>
          <w:lang w:val="es-ES_tradnl"/>
        </w:rPr>
        <w:t>www.mariaparham.com</w:t>
      </w:r>
      <w:r w:rsidR="00AF2321" w:rsidRPr="004E629D">
        <w:rPr>
          <w:rFonts w:ascii="Aptos" w:hAnsi="Aptos"/>
          <w:lang w:val="es-ES_tradnl"/>
        </w:rPr>
        <w:t xml:space="preserve">. Las copias también están disponibles a pedido, sin costo, por correo y en las salas de emergencia y áreas de ingreso del hospital. Envíe una solicitud por escrito a los Servicios Financieros para Pacientes de </w:t>
      </w:r>
      <w:r w:rsidR="00C27DC7" w:rsidRPr="004E629D">
        <w:rPr>
          <w:rFonts w:ascii="Aptos" w:hAnsi="Aptos"/>
        </w:rPr>
        <w:t xml:space="preserve">Maria Parham Health </w:t>
      </w:r>
      <w:r w:rsidR="00C27DC7" w:rsidRPr="004E629D">
        <w:rPr>
          <w:rFonts w:ascii="Aptos" w:hAnsi="Aptos"/>
          <w:b/>
          <w:bCs/>
        </w:rPr>
        <w:t>/</w:t>
      </w:r>
      <w:r w:rsidR="00C27DC7" w:rsidRPr="004E629D">
        <w:rPr>
          <w:rFonts w:ascii="Aptos" w:hAnsi="Aptos"/>
        </w:rPr>
        <w:t xml:space="preserve"> Maria Parham Franklin, Patient Financial Services at 566 Ruin Creek Rd, Henderson, NC 27536 / 100 Hospital Dr, Louisburg, NC 27549</w:t>
      </w:r>
    </w:p>
    <w:p w14:paraId="22B19DCB" w14:textId="0627ABFE" w:rsidR="00AF2321" w:rsidRPr="004E629D" w:rsidRDefault="00AF2321" w:rsidP="00AF2321">
      <w:pPr>
        <w:spacing w:before="166" w:line="295" w:lineRule="auto"/>
        <w:ind w:left="449"/>
        <w:rPr>
          <w:rFonts w:ascii="Aptos" w:hAnsi="Aptos"/>
          <w:lang w:val="es-ES_tradnl"/>
        </w:rPr>
      </w:pPr>
      <w:r w:rsidRPr="004E629D">
        <w:rPr>
          <w:rFonts w:ascii="Aptos" w:hAnsi="Aptos"/>
          <w:lang w:val="es-ES_tradnl"/>
        </w:rPr>
        <w:t>.</w:t>
      </w:r>
    </w:p>
    <w:p w14:paraId="6257DD23" w14:textId="77777777" w:rsidR="00AF2321" w:rsidRPr="004E629D" w:rsidRDefault="00AF2321" w:rsidP="00AF2321">
      <w:pPr>
        <w:pStyle w:val="Heading1"/>
        <w:spacing w:before="84"/>
        <w:rPr>
          <w:rFonts w:ascii="Aptos" w:hAnsi="Aptos"/>
          <w:sz w:val="24"/>
          <w:szCs w:val="24"/>
          <w:lang w:val="es-ES_tradnl"/>
        </w:rPr>
      </w:pPr>
      <w:bookmarkStart w:id="3" w:name="DEFINITIONS:_"/>
      <w:bookmarkEnd w:id="3"/>
      <w:r w:rsidRPr="004E629D">
        <w:rPr>
          <w:rFonts w:ascii="Aptos" w:hAnsi="Aptos"/>
          <w:sz w:val="24"/>
          <w:szCs w:val="24"/>
          <w:lang w:val="es-ES_tradnl"/>
        </w:rPr>
        <w:t>DEFINICIONES:</w:t>
      </w:r>
    </w:p>
    <w:p w14:paraId="5FCB6081" w14:textId="446E2B2A" w:rsidR="00AF2321" w:rsidRPr="004E629D" w:rsidRDefault="00AF2321" w:rsidP="00AF2321">
      <w:pPr>
        <w:pStyle w:val="ListParagraph"/>
        <w:numPr>
          <w:ilvl w:val="0"/>
          <w:numId w:val="3"/>
        </w:numPr>
        <w:tabs>
          <w:tab w:val="left" w:pos="1256"/>
          <w:tab w:val="left" w:pos="1258"/>
        </w:tabs>
        <w:spacing w:before="145" w:line="268" w:lineRule="auto"/>
        <w:ind w:right="220"/>
        <w:rPr>
          <w:rFonts w:ascii="Aptos" w:hAnsi="Aptos"/>
          <w:sz w:val="24"/>
          <w:szCs w:val="24"/>
          <w:lang w:val="es-ES_tradnl"/>
        </w:rPr>
      </w:pPr>
      <w:r w:rsidRPr="004E629D">
        <w:rPr>
          <w:rFonts w:ascii="Aptos" w:hAnsi="Aptos"/>
          <w:sz w:val="24"/>
          <w:szCs w:val="24"/>
          <w:u w:val="single" w:color="182D4A"/>
          <w:lang w:val="es-ES_tradnl"/>
        </w:rPr>
        <w:t>Proveedor cubierto:</w:t>
      </w:r>
      <w:r w:rsidRPr="004E629D">
        <w:rPr>
          <w:rFonts w:ascii="Aptos" w:hAnsi="Aptos"/>
          <w:sz w:val="24"/>
          <w:szCs w:val="24"/>
          <w:lang w:val="es-ES_tradnl"/>
        </w:rPr>
        <w:t xml:space="preserve"> </w:t>
      </w:r>
      <w:r w:rsidR="0026025C" w:rsidRPr="004E629D">
        <w:rPr>
          <w:rFonts w:ascii="Aptos" w:hAnsi="Aptos"/>
          <w:b/>
          <w:sz w:val="24"/>
          <w:szCs w:val="24"/>
          <w:lang w:val="es-ES_tradnl"/>
        </w:rPr>
        <w:t>Maria Parham Health / Maria Parham Franklin</w:t>
      </w:r>
      <w:r w:rsidR="0026025C" w:rsidRPr="004E629D">
        <w:rPr>
          <w:rFonts w:ascii="Aptos" w:hAnsi="Aptos"/>
          <w:sz w:val="24"/>
          <w:szCs w:val="24"/>
          <w:lang w:val="es-ES_tradnl"/>
        </w:rPr>
        <w:t xml:space="preserve"> </w:t>
      </w:r>
      <w:r w:rsidRPr="004E629D">
        <w:rPr>
          <w:rFonts w:ascii="Aptos" w:hAnsi="Aptos"/>
          <w:sz w:val="24"/>
          <w:szCs w:val="24"/>
          <w:lang w:val="es-ES_tradnl"/>
        </w:rPr>
        <w:t xml:space="preserve">y los </w:t>
      </w:r>
      <w:r w:rsidRPr="004E629D">
        <w:rPr>
          <w:rFonts w:ascii="Aptos" w:hAnsi="Aptos"/>
          <w:b/>
          <w:sz w:val="24"/>
          <w:szCs w:val="24"/>
          <w:lang w:val="es-ES_tradnl"/>
        </w:rPr>
        <w:t>consultorios médicos de su pertenencia</w:t>
      </w:r>
      <w:r w:rsidRPr="004E629D">
        <w:rPr>
          <w:rFonts w:ascii="Aptos" w:hAnsi="Aptos"/>
          <w:sz w:val="24"/>
          <w:szCs w:val="24"/>
          <w:lang w:val="es-ES_tradnl"/>
        </w:rPr>
        <w:t xml:space="preserve">. Se alienta a los médicos y otros proveedores de atención médica que facturan de forma “privada” a respetar esta política, excepto en circunstancias limitadas relacionadas con los Servicios Cubiertos prestados por </w:t>
      </w:r>
      <w:r w:rsidRPr="004E629D">
        <w:rPr>
          <w:rFonts w:ascii="Aptos" w:hAnsi="Aptos"/>
          <w:b/>
          <w:sz w:val="24"/>
          <w:szCs w:val="24"/>
          <w:lang w:val="es-ES_tradnl"/>
        </w:rPr>
        <w:t xml:space="preserve">consultorios médicos propios </w:t>
      </w:r>
      <w:r w:rsidRPr="004E629D">
        <w:rPr>
          <w:rFonts w:ascii="Aptos" w:hAnsi="Aptos"/>
          <w:sz w:val="24"/>
          <w:szCs w:val="24"/>
          <w:lang w:val="es-ES_tradnl"/>
        </w:rPr>
        <w:t>del hospital, pero no se los obliga a hacerlo. Consulte el Anexo A para obtener información adicional sobre otros proveedores de atención médica que brindan atención en el hospital.</w:t>
      </w:r>
    </w:p>
    <w:p w14:paraId="18421812" w14:textId="77777777" w:rsidR="00AF2321" w:rsidRPr="004E629D" w:rsidRDefault="00AF2321" w:rsidP="00AF2321">
      <w:pPr>
        <w:pStyle w:val="ListParagraph"/>
        <w:numPr>
          <w:ilvl w:val="0"/>
          <w:numId w:val="3"/>
        </w:numPr>
        <w:tabs>
          <w:tab w:val="left" w:pos="1255"/>
          <w:tab w:val="left" w:pos="1258"/>
        </w:tabs>
        <w:spacing w:before="104" w:line="268" w:lineRule="auto"/>
        <w:ind w:right="348" w:hanging="346"/>
        <w:rPr>
          <w:rFonts w:ascii="Aptos" w:hAnsi="Aptos"/>
          <w:sz w:val="24"/>
          <w:szCs w:val="24"/>
          <w:lang w:val="es-ES_tradnl"/>
        </w:rPr>
      </w:pPr>
      <w:r w:rsidRPr="004E629D">
        <w:rPr>
          <w:rFonts w:ascii="Aptos" w:hAnsi="Aptos"/>
          <w:sz w:val="24"/>
          <w:szCs w:val="24"/>
          <w:u w:val="single" w:color="182D4A"/>
          <w:lang w:val="es-ES_tradnl"/>
        </w:rPr>
        <w:t>Servicio cubierto:</w:t>
      </w:r>
      <w:r w:rsidRPr="004E629D">
        <w:rPr>
          <w:rFonts w:ascii="Aptos" w:hAnsi="Aptos"/>
          <w:sz w:val="24"/>
          <w:szCs w:val="24"/>
          <w:lang w:val="es-ES_tradnl"/>
        </w:rPr>
        <w:t xml:space="preserve"> toda atención de emergencia y necesaria desde el punto de vista médico que presta un Proveedor cubierto en el hospital. Los Servicios cubiertos no incluyen los procedimientos optativos, como los procedimientos estéticos o los servicios para la fertilidad. </w:t>
      </w:r>
    </w:p>
    <w:p w14:paraId="3AA230E6" w14:textId="77777777" w:rsidR="00AF2321" w:rsidRPr="004E629D" w:rsidRDefault="00AF2321" w:rsidP="00AF2321">
      <w:pPr>
        <w:pStyle w:val="ListParagraph"/>
        <w:numPr>
          <w:ilvl w:val="0"/>
          <w:numId w:val="3"/>
        </w:numPr>
        <w:tabs>
          <w:tab w:val="left" w:pos="1255"/>
          <w:tab w:val="left" w:pos="1258"/>
        </w:tabs>
        <w:spacing w:before="105" w:line="268" w:lineRule="auto"/>
        <w:ind w:right="483"/>
        <w:rPr>
          <w:rFonts w:ascii="Aptos" w:hAnsi="Aptos"/>
          <w:sz w:val="24"/>
          <w:szCs w:val="24"/>
          <w:lang w:val="es-ES_tradnl"/>
        </w:rPr>
      </w:pPr>
      <w:r w:rsidRPr="004E629D">
        <w:rPr>
          <w:rFonts w:ascii="Aptos" w:hAnsi="Aptos"/>
          <w:sz w:val="24"/>
          <w:szCs w:val="24"/>
          <w:u w:val="single" w:color="182D4A"/>
          <w:lang w:val="es-ES_tradnl"/>
        </w:rPr>
        <w:t>Atención de emergencia y necesaria desde el punto de vista médico:</w:t>
      </w:r>
      <w:r w:rsidRPr="004E629D">
        <w:rPr>
          <w:rFonts w:ascii="Aptos" w:hAnsi="Aptos"/>
          <w:sz w:val="24"/>
          <w:szCs w:val="24"/>
          <w:lang w:val="es-ES_tradnl"/>
        </w:rPr>
        <w:t xml:space="preserve"> servicios que son necesarios y apropiados para mantener la vida o prevenir un deterioro grave de la salud del paciente a causa de una lesión o enfermedad.</w:t>
      </w:r>
    </w:p>
    <w:p w14:paraId="7B3AB088" w14:textId="77777777" w:rsidR="00AF2321" w:rsidRPr="004E629D" w:rsidRDefault="00AF2321" w:rsidP="00AF2321">
      <w:pPr>
        <w:pStyle w:val="ListParagraph"/>
        <w:numPr>
          <w:ilvl w:val="0"/>
          <w:numId w:val="3"/>
        </w:numPr>
        <w:tabs>
          <w:tab w:val="left" w:pos="1256"/>
          <w:tab w:val="left" w:pos="1258"/>
        </w:tabs>
        <w:spacing w:before="104" w:line="268" w:lineRule="auto"/>
        <w:ind w:right="181" w:hanging="342"/>
        <w:rPr>
          <w:rFonts w:ascii="Aptos" w:hAnsi="Aptos"/>
          <w:sz w:val="24"/>
          <w:szCs w:val="24"/>
          <w:lang w:val="es-ES_tradnl"/>
        </w:rPr>
      </w:pPr>
      <w:r w:rsidRPr="004E629D">
        <w:rPr>
          <w:rFonts w:ascii="Aptos" w:hAnsi="Aptos"/>
          <w:sz w:val="24"/>
          <w:szCs w:val="24"/>
          <w:u w:val="single" w:color="182D4A"/>
          <w:lang w:val="es-ES_tradnl"/>
        </w:rPr>
        <w:t>Asistencia financiera:</w:t>
      </w:r>
      <w:r w:rsidRPr="004E629D">
        <w:rPr>
          <w:rFonts w:ascii="Aptos" w:hAnsi="Aptos"/>
          <w:sz w:val="24"/>
          <w:szCs w:val="24"/>
          <w:lang w:val="es-ES_tradnl"/>
        </w:rPr>
        <w:t xml:space="preserve"> reducción del saldo de la cuenta de un paciente elegible por Servicios cubiertos en virtud de los términos de esta Política.</w:t>
      </w:r>
    </w:p>
    <w:p w14:paraId="15934E77" w14:textId="0294B81C" w:rsidR="00AF2321" w:rsidRPr="004E629D" w:rsidRDefault="00AF2321" w:rsidP="00AF2321">
      <w:pPr>
        <w:pStyle w:val="ListParagraph"/>
        <w:numPr>
          <w:ilvl w:val="0"/>
          <w:numId w:val="3"/>
        </w:numPr>
        <w:tabs>
          <w:tab w:val="left" w:pos="1255"/>
        </w:tabs>
        <w:spacing w:before="105"/>
        <w:ind w:left="1255" w:right="0" w:hanging="332"/>
        <w:rPr>
          <w:rFonts w:ascii="Aptos" w:hAnsi="Aptos"/>
          <w:b/>
          <w:sz w:val="24"/>
          <w:szCs w:val="24"/>
          <w:lang w:val="es-ES_tradnl"/>
        </w:rPr>
      </w:pPr>
      <w:r w:rsidRPr="004E629D">
        <w:rPr>
          <w:rFonts w:ascii="Aptos" w:hAnsi="Aptos"/>
          <w:sz w:val="24"/>
          <w:szCs w:val="24"/>
          <w:u w:val="single" w:color="182D4A"/>
          <w:lang w:val="es-ES_tradnl"/>
        </w:rPr>
        <w:t>Hospital:</w:t>
      </w:r>
      <w:r w:rsidRPr="004E629D">
        <w:rPr>
          <w:rFonts w:ascii="Aptos" w:hAnsi="Aptos"/>
          <w:sz w:val="24"/>
          <w:szCs w:val="24"/>
          <w:lang w:val="es-ES_tradnl"/>
        </w:rPr>
        <w:t xml:space="preserve"> </w:t>
      </w:r>
      <w:r w:rsidR="00DA6608" w:rsidRPr="004E629D">
        <w:rPr>
          <w:rFonts w:ascii="Aptos" w:hAnsi="Aptos"/>
          <w:b/>
          <w:sz w:val="24"/>
          <w:szCs w:val="24"/>
          <w:lang w:val="es-ES_tradnl"/>
        </w:rPr>
        <w:t>Maria Parham Health / Maria Parham Franklin</w:t>
      </w:r>
      <w:r w:rsidRPr="004E629D">
        <w:rPr>
          <w:rFonts w:ascii="Aptos" w:hAnsi="Aptos"/>
          <w:b/>
          <w:sz w:val="24"/>
          <w:szCs w:val="24"/>
          <w:lang w:val="es-ES_tradnl"/>
        </w:rPr>
        <w:t>.</w:t>
      </w:r>
      <w:r w:rsidRPr="004E629D">
        <w:rPr>
          <w:rFonts w:ascii="Aptos" w:hAnsi="Aptos"/>
          <w:sz w:val="24"/>
          <w:szCs w:val="24"/>
          <w:lang w:val="es-ES_tradnl"/>
        </w:rPr>
        <w:t xml:space="preserve"> </w:t>
      </w:r>
    </w:p>
    <w:p w14:paraId="4F35E4DA" w14:textId="1512891D" w:rsidR="00AF2321" w:rsidRPr="004E629D" w:rsidRDefault="00AF2321" w:rsidP="00AF2321">
      <w:pPr>
        <w:pStyle w:val="ListParagraph"/>
        <w:numPr>
          <w:ilvl w:val="0"/>
          <w:numId w:val="3"/>
        </w:numPr>
        <w:tabs>
          <w:tab w:val="left" w:pos="1258"/>
        </w:tabs>
        <w:spacing w:before="134" w:line="268" w:lineRule="auto"/>
        <w:ind w:right="295" w:hanging="307"/>
        <w:rPr>
          <w:rFonts w:ascii="Aptos" w:hAnsi="Aptos"/>
          <w:sz w:val="24"/>
          <w:szCs w:val="24"/>
          <w:u w:val="single"/>
          <w:lang w:val="es-ES_tradnl"/>
        </w:rPr>
      </w:pPr>
      <w:r w:rsidRPr="004E629D">
        <w:rPr>
          <w:rFonts w:ascii="Aptos" w:hAnsi="Aptos"/>
          <w:sz w:val="24"/>
          <w:szCs w:val="24"/>
          <w:u w:val="single" w:color="182D4A"/>
          <w:lang w:val="es-ES_tradnl"/>
        </w:rPr>
        <w:t>Paciente:</w:t>
      </w:r>
      <w:r w:rsidRPr="004E629D">
        <w:rPr>
          <w:rFonts w:ascii="Aptos" w:hAnsi="Aptos"/>
          <w:sz w:val="24"/>
          <w:szCs w:val="24"/>
          <w:lang w:val="es-ES_tradnl"/>
        </w:rPr>
        <w:t xml:space="preserve"> la persona que recibe tratamiento médico o, en el caso de un menor no emancipado u otro dependiente, su padre o madre, tutor legal u otra persona (garante) financieramente responsable por el paciente.</w:t>
      </w:r>
    </w:p>
    <w:p w14:paraId="61994CD2" w14:textId="77777777" w:rsidR="00AF2321" w:rsidRPr="004E629D" w:rsidRDefault="00AF2321" w:rsidP="00AF2321">
      <w:pPr>
        <w:pStyle w:val="ListParagraph"/>
        <w:numPr>
          <w:ilvl w:val="0"/>
          <w:numId w:val="3"/>
        </w:numPr>
        <w:tabs>
          <w:tab w:val="left" w:pos="1258"/>
        </w:tabs>
        <w:spacing w:before="134" w:line="268" w:lineRule="auto"/>
        <w:ind w:right="295" w:hanging="307"/>
        <w:rPr>
          <w:rFonts w:ascii="Aptos" w:hAnsi="Aptos"/>
          <w:sz w:val="24"/>
          <w:szCs w:val="24"/>
          <w:u w:val="single"/>
          <w:lang w:val="es-ES_tradnl"/>
        </w:rPr>
      </w:pPr>
      <w:r w:rsidRPr="004E629D">
        <w:rPr>
          <w:rFonts w:ascii="Aptos" w:hAnsi="Aptos"/>
          <w:sz w:val="24"/>
          <w:szCs w:val="24"/>
          <w:u w:val="single"/>
          <w:lang w:val="es-ES_tradnl"/>
        </w:rPr>
        <w:t>Elegibilidad presunta:</w:t>
      </w:r>
      <w:r w:rsidRPr="004E629D">
        <w:rPr>
          <w:rFonts w:ascii="Aptos" w:hAnsi="Aptos"/>
          <w:sz w:val="24"/>
          <w:szCs w:val="24"/>
          <w:lang w:val="es-ES_tradnl"/>
        </w:rPr>
        <w:t xml:space="preserve"> se presupone que el paciente es elegible para caridad, como resultado de haber declarado condiciones específicas no basadas en sus ingresos, según se define en la Política.</w:t>
      </w:r>
    </w:p>
    <w:p w14:paraId="2FDBA413" w14:textId="77777777" w:rsidR="006D75D1" w:rsidRDefault="006D75D1" w:rsidP="00AF2321">
      <w:pPr>
        <w:pStyle w:val="Heading1"/>
        <w:spacing w:before="175" w:line="220" w:lineRule="auto"/>
        <w:rPr>
          <w:rFonts w:ascii="Aptos" w:hAnsi="Aptos"/>
          <w:sz w:val="24"/>
          <w:szCs w:val="24"/>
          <w:lang w:val="es-ES_tradnl"/>
        </w:rPr>
      </w:pPr>
      <w:bookmarkStart w:id="4" w:name="NONDISCRIMINATION_AND_EMERGENCY_MEDICAL_"/>
      <w:bookmarkEnd w:id="4"/>
    </w:p>
    <w:p w14:paraId="5124F505" w14:textId="2817B085" w:rsidR="00AF2321" w:rsidRPr="004E629D" w:rsidRDefault="00AF2321" w:rsidP="00AF2321">
      <w:pPr>
        <w:pStyle w:val="Heading1"/>
        <w:spacing w:before="175" w:line="220" w:lineRule="auto"/>
        <w:rPr>
          <w:rFonts w:ascii="Aptos" w:hAnsi="Aptos"/>
          <w:sz w:val="24"/>
          <w:szCs w:val="24"/>
          <w:lang w:val="es-ES_tradnl"/>
        </w:rPr>
      </w:pPr>
      <w:r w:rsidRPr="004E629D">
        <w:rPr>
          <w:rFonts w:ascii="Aptos" w:hAnsi="Aptos"/>
          <w:sz w:val="24"/>
          <w:szCs w:val="24"/>
          <w:lang w:val="es-ES_tradnl"/>
        </w:rPr>
        <w:t>PROHIBICIÓN DE LA DISCRIMINACIÓN Y ATENCIÓN MÉDICA DE EMERGENCIA:</w:t>
      </w:r>
    </w:p>
    <w:p w14:paraId="11D8ADC4" w14:textId="3C7039BD" w:rsidR="00AF2321" w:rsidRPr="004E629D" w:rsidRDefault="00DA6608" w:rsidP="00AF2321">
      <w:pPr>
        <w:pStyle w:val="BodyText"/>
        <w:spacing w:before="165" w:line="295" w:lineRule="auto"/>
        <w:ind w:right="175"/>
        <w:rPr>
          <w:rFonts w:ascii="Aptos" w:hAnsi="Aptos"/>
          <w:sz w:val="24"/>
          <w:szCs w:val="24"/>
          <w:lang w:val="es-ES_tradnl"/>
        </w:rPr>
      </w:pPr>
      <w:r w:rsidRPr="004E629D">
        <w:rPr>
          <w:rFonts w:ascii="Aptos" w:hAnsi="Aptos"/>
          <w:b/>
          <w:sz w:val="24"/>
          <w:szCs w:val="24"/>
          <w:lang w:val="es-ES_tradnl"/>
        </w:rPr>
        <w:t>Maria Parham Health / Maria Parham Franklin</w:t>
      </w:r>
      <w:r w:rsidR="00AF2321" w:rsidRPr="004E629D">
        <w:rPr>
          <w:rFonts w:ascii="Aptos" w:hAnsi="Aptos"/>
          <w:b/>
          <w:sz w:val="24"/>
          <w:szCs w:val="24"/>
          <w:lang w:val="es-ES_tradnl"/>
        </w:rPr>
        <w:t xml:space="preserve"> </w:t>
      </w:r>
      <w:r w:rsidR="00AF2321" w:rsidRPr="004E629D">
        <w:rPr>
          <w:rFonts w:ascii="Aptos" w:hAnsi="Aptos"/>
          <w:sz w:val="24"/>
          <w:szCs w:val="24"/>
          <w:lang w:val="es-ES_tradnl"/>
        </w:rPr>
        <w:t>determina la elegibilidad para la Asistencia financiera de conformidad con esta Política y en función de la necesidad únicamente, y no tiene en cuenta la edad, el género, la raza, la condición social o migratoria, la orientación sexual o la afiliación religiosa.</w:t>
      </w:r>
    </w:p>
    <w:p w14:paraId="35E42D7B" w14:textId="77777777" w:rsidR="005769AC" w:rsidRPr="004E629D" w:rsidRDefault="005769AC" w:rsidP="005769AC">
      <w:pPr>
        <w:pStyle w:val="BodyText"/>
        <w:spacing w:before="150" w:line="295" w:lineRule="auto"/>
        <w:ind w:right="99"/>
        <w:rPr>
          <w:rFonts w:ascii="Aptos" w:hAnsi="Aptos"/>
          <w:b/>
          <w:sz w:val="24"/>
          <w:szCs w:val="24"/>
          <w:lang w:val="es-ES_tradnl"/>
        </w:rPr>
      </w:pPr>
    </w:p>
    <w:p w14:paraId="071A9721" w14:textId="77777777" w:rsidR="004D6A3A" w:rsidRDefault="00DA6608" w:rsidP="005769AC">
      <w:pPr>
        <w:pStyle w:val="BodyText"/>
        <w:spacing w:before="150" w:line="295" w:lineRule="auto"/>
        <w:ind w:right="99"/>
        <w:rPr>
          <w:rFonts w:ascii="Aptos" w:hAnsi="Aptos"/>
          <w:sz w:val="24"/>
          <w:szCs w:val="24"/>
          <w:lang w:val="es-ES_tradnl"/>
        </w:rPr>
      </w:pPr>
      <w:r w:rsidRPr="004E629D">
        <w:rPr>
          <w:rFonts w:ascii="Aptos" w:hAnsi="Aptos"/>
          <w:b/>
          <w:sz w:val="24"/>
          <w:szCs w:val="24"/>
          <w:lang w:val="es-ES_tradnl"/>
        </w:rPr>
        <w:t>Maria Parham Health / Maria Parham Franklin</w:t>
      </w:r>
      <w:r w:rsidRPr="004E629D">
        <w:rPr>
          <w:rFonts w:ascii="Aptos" w:hAnsi="Aptos"/>
          <w:sz w:val="24"/>
          <w:szCs w:val="24"/>
          <w:lang w:val="es-ES_tradnl"/>
        </w:rPr>
        <w:t xml:space="preserve"> </w:t>
      </w:r>
      <w:r w:rsidR="005769AC" w:rsidRPr="004E629D">
        <w:rPr>
          <w:rFonts w:ascii="Aptos" w:hAnsi="Aptos"/>
          <w:sz w:val="24"/>
          <w:szCs w:val="24"/>
          <w:lang w:val="es-ES_tradnl"/>
        </w:rPr>
        <w:t xml:space="preserve">prestará, sin discriminación y en cumplimiento con la Ley de Tratamientos Médicos de Emergencia y Partos (Emergency Medical Treatment and Labor Act, EMTALA), atención para cuadros de emergencia a las personas, sin importar si son elegibles para la Asistencia financiera, según se especifica con mayor detalle en la Política de EMTALA de </w:t>
      </w:r>
      <w:r w:rsidR="003732E2" w:rsidRPr="004E629D">
        <w:rPr>
          <w:rFonts w:ascii="Aptos" w:hAnsi="Aptos"/>
          <w:b/>
          <w:sz w:val="24"/>
          <w:szCs w:val="24"/>
          <w:lang w:val="es-ES_tradnl"/>
        </w:rPr>
        <w:t>Maria Parham Health / Maria Parham Franklin</w:t>
      </w:r>
      <w:r w:rsidR="005769AC" w:rsidRPr="004E629D">
        <w:rPr>
          <w:rFonts w:ascii="Aptos" w:hAnsi="Aptos"/>
          <w:sz w:val="24"/>
          <w:szCs w:val="24"/>
          <w:lang w:val="es-ES_tradnl"/>
        </w:rPr>
        <w:t xml:space="preserve">. Hay una copia de la Política de EMTALA disponible sin costo, previa solicitud por escrito a los Servicios Financieros para Pacientes de </w:t>
      </w:r>
      <w:r w:rsidR="001A0027" w:rsidRPr="004E629D">
        <w:rPr>
          <w:rFonts w:ascii="Aptos" w:hAnsi="Aptos"/>
          <w:sz w:val="24"/>
          <w:szCs w:val="24"/>
        </w:rPr>
        <w:t>Maria Parham Health / Maria Parham Franklin, Patient Financial Services at 566 Ruin Creek Rd, Henderson, NC 27536 / 100 Hospital Dr, Louisburg, NC 27549</w:t>
      </w:r>
      <w:r w:rsidR="005769AC" w:rsidRPr="004E629D">
        <w:rPr>
          <w:rFonts w:ascii="Aptos" w:hAnsi="Aptos"/>
          <w:sz w:val="24"/>
          <w:szCs w:val="24"/>
          <w:lang w:val="es-ES_tradnl"/>
        </w:rPr>
        <w:t xml:space="preserve">. También puede descargar la política en </w:t>
      </w:r>
      <w:r w:rsidR="004D6A3A" w:rsidRPr="004E629D">
        <w:rPr>
          <w:rFonts w:ascii="Aptos" w:hAnsi="Aptos"/>
          <w:b/>
          <w:sz w:val="24"/>
          <w:szCs w:val="24"/>
          <w:lang w:val="es-ES_tradnl"/>
        </w:rPr>
        <w:t>www.mariaparham.com</w:t>
      </w:r>
      <w:r w:rsidR="004D6A3A" w:rsidRPr="004E629D">
        <w:rPr>
          <w:rFonts w:ascii="Aptos" w:hAnsi="Aptos"/>
          <w:sz w:val="24"/>
          <w:szCs w:val="24"/>
          <w:lang w:val="es-ES_tradnl"/>
        </w:rPr>
        <w:t xml:space="preserve">.  </w:t>
      </w:r>
    </w:p>
    <w:p w14:paraId="5C6ED195" w14:textId="77777777" w:rsidR="006D75D1" w:rsidRPr="004E629D" w:rsidRDefault="006D75D1" w:rsidP="005769AC">
      <w:pPr>
        <w:pStyle w:val="BodyText"/>
        <w:spacing w:before="150" w:line="295" w:lineRule="auto"/>
        <w:ind w:right="99"/>
        <w:rPr>
          <w:rFonts w:ascii="Aptos" w:hAnsi="Aptos"/>
          <w:sz w:val="24"/>
          <w:szCs w:val="24"/>
          <w:lang w:val="es-ES_tradnl"/>
        </w:rPr>
      </w:pPr>
    </w:p>
    <w:p w14:paraId="7842E828" w14:textId="2B00AA0E" w:rsidR="005769AC" w:rsidRPr="004E629D" w:rsidRDefault="001E2B63" w:rsidP="005769AC">
      <w:pPr>
        <w:pStyle w:val="BodyText"/>
        <w:spacing w:before="150" w:line="295" w:lineRule="auto"/>
        <w:ind w:right="99"/>
        <w:rPr>
          <w:rFonts w:ascii="Aptos" w:hAnsi="Aptos"/>
          <w:w w:val="110"/>
          <w:sz w:val="24"/>
          <w:szCs w:val="24"/>
          <w:lang w:val="es-ES_tradnl"/>
        </w:rPr>
      </w:pPr>
      <w:r w:rsidRPr="004E629D">
        <w:rPr>
          <w:rFonts w:ascii="Aptos" w:hAnsi="Aptos"/>
          <w:b/>
          <w:sz w:val="24"/>
          <w:szCs w:val="24"/>
          <w:lang w:val="es-ES_tradnl"/>
        </w:rPr>
        <w:t>Maria Parham Health / Maria Parham Franklin</w:t>
      </w:r>
      <w:r w:rsidR="005769AC" w:rsidRPr="004E629D">
        <w:rPr>
          <w:rFonts w:ascii="Aptos" w:hAnsi="Aptos"/>
          <w:b/>
          <w:sz w:val="24"/>
          <w:szCs w:val="24"/>
          <w:lang w:val="es-ES_tradnl"/>
        </w:rPr>
        <w:t xml:space="preserve"> </w:t>
      </w:r>
      <w:r w:rsidR="005769AC" w:rsidRPr="004E629D">
        <w:rPr>
          <w:rFonts w:ascii="Aptos" w:hAnsi="Aptos"/>
          <w:sz w:val="24"/>
          <w:szCs w:val="24"/>
          <w:lang w:val="es-ES_tradnl"/>
        </w:rPr>
        <w:t xml:space="preserve">no llevará a cabo acciones para desalentar a las personas de buscar atención médica de emergencia, como exigir que los pacientes de la sala de emergencias paguen antes de recibir tratamiento o permitir actividades de cobro de deudas que interfieran con la prestación, sin discriminación, de atención médica de emergencia.         </w:t>
      </w:r>
      <w:bookmarkStart w:id="5" w:name="ATTACHMENT_A:Physicians_and_Other_Provid"/>
      <w:bookmarkEnd w:id="5"/>
    </w:p>
    <w:p w14:paraId="6B91D74E" w14:textId="77777777" w:rsidR="00224492" w:rsidRDefault="00224492" w:rsidP="005769AC">
      <w:pPr>
        <w:pStyle w:val="Heading1"/>
        <w:spacing w:before="118" w:line="220" w:lineRule="auto"/>
        <w:ind w:right="1619"/>
        <w:rPr>
          <w:rFonts w:ascii="Aptos" w:hAnsi="Aptos"/>
          <w:sz w:val="24"/>
          <w:szCs w:val="24"/>
          <w:lang w:val="es-ES_tradnl"/>
        </w:rPr>
      </w:pPr>
    </w:p>
    <w:p w14:paraId="25E990BA" w14:textId="77777777" w:rsidR="00224492" w:rsidRDefault="00224492" w:rsidP="005769AC">
      <w:pPr>
        <w:pStyle w:val="Heading1"/>
        <w:spacing w:before="118" w:line="220" w:lineRule="auto"/>
        <w:ind w:right="1619"/>
        <w:rPr>
          <w:rFonts w:ascii="Aptos" w:hAnsi="Aptos"/>
          <w:sz w:val="24"/>
          <w:szCs w:val="24"/>
          <w:lang w:val="es-ES_tradnl"/>
        </w:rPr>
      </w:pPr>
    </w:p>
    <w:p w14:paraId="28073335" w14:textId="77777777" w:rsidR="00224492" w:rsidRDefault="00224492" w:rsidP="005769AC">
      <w:pPr>
        <w:pStyle w:val="Heading1"/>
        <w:spacing w:before="118" w:line="220" w:lineRule="auto"/>
        <w:ind w:right="1619"/>
        <w:rPr>
          <w:rFonts w:ascii="Aptos" w:hAnsi="Aptos"/>
          <w:sz w:val="24"/>
          <w:szCs w:val="24"/>
          <w:lang w:val="es-ES_tradnl"/>
        </w:rPr>
      </w:pPr>
    </w:p>
    <w:p w14:paraId="4F17820B" w14:textId="77777777" w:rsidR="00224492" w:rsidRDefault="00224492" w:rsidP="005769AC">
      <w:pPr>
        <w:pStyle w:val="Heading1"/>
        <w:spacing w:before="118" w:line="220" w:lineRule="auto"/>
        <w:ind w:right="1619"/>
        <w:rPr>
          <w:rFonts w:ascii="Aptos" w:hAnsi="Aptos"/>
          <w:sz w:val="24"/>
          <w:szCs w:val="24"/>
          <w:lang w:val="es-ES_tradnl"/>
        </w:rPr>
      </w:pPr>
    </w:p>
    <w:p w14:paraId="0832FE7F" w14:textId="77777777" w:rsidR="00224492" w:rsidRDefault="00224492" w:rsidP="005769AC">
      <w:pPr>
        <w:pStyle w:val="Heading1"/>
        <w:spacing w:before="118" w:line="220" w:lineRule="auto"/>
        <w:ind w:right="1619"/>
        <w:rPr>
          <w:rFonts w:ascii="Aptos" w:hAnsi="Aptos"/>
          <w:sz w:val="24"/>
          <w:szCs w:val="24"/>
          <w:lang w:val="es-ES_tradnl"/>
        </w:rPr>
      </w:pPr>
    </w:p>
    <w:p w14:paraId="43335340" w14:textId="77777777" w:rsidR="00224492" w:rsidRDefault="00224492" w:rsidP="005769AC">
      <w:pPr>
        <w:pStyle w:val="Heading1"/>
        <w:spacing w:before="118" w:line="220" w:lineRule="auto"/>
        <w:ind w:right="1619"/>
        <w:rPr>
          <w:rFonts w:ascii="Aptos" w:hAnsi="Aptos"/>
          <w:sz w:val="24"/>
          <w:szCs w:val="24"/>
          <w:lang w:val="es-ES_tradnl"/>
        </w:rPr>
      </w:pPr>
    </w:p>
    <w:p w14:paraId="5B42DF85" w14:textId="77777777" w:rsidR="00224492" w:rsidRDefault="00224492" w:rsidP="005769AC">
      <w:pPr>
        <w:pStyle w:val="Heading1"/>
        <w:spacing w:before="118" w:line="220" w:lineRule="auto"/>
        <w:ind w:right="1619"/>
        <w:rPr>
          <w:rFonts w:ascii="Aptos" w:hAnsi="Aptos"/>
          <w:sz w:val="24"/>
          <w:szCs w:val="24"/>
          <w:lang w:val="es-ES_tradnl"/>
        </w:rPr>
      </w:pPr>
    </w:p>
    <w:p w14:paraId="3A2BB693" w14:textId="77777777" w:rsidR="00224492" w:rsidRDefault="00224492" w:rsidP="005769AC">
      <w:pPr>
        <w:pStyle w:val="Heading1"/>
        <w:spacing w:before="118" w:line="220" w:lineRule="auto"/>
        <w:ind w:right="1619"/>
        <w:rPr>
          <w:rFonts w:ascii="Aptos" w:hAnsi="Aptos"/>
          <w:sz w:val="24"/>
          <w:szCs w:val="24"/>
          <w:lang w:val="es-ES_tradnl"/>
        </w:rPr>
      </w:pPr>
    </w:p>
    <w:p w14:paraId="607B97D2" w14:textId="77777777" w:rsidR="00224492" w:rsidRDefault="00224492" w:rsidP="005769AC">
      <w:pPr>
        <w:pStyle w:val="Heading1"/>
        <w:spacing w:before="118" w:line="220" w:lineRule="auto"/>
        <w:ind w:right="1619"/>
        <w:rPr>
          <w:rFonts w:ascii="Aptos" w:hAnsi="Aptos"/>
          <w:sz w:val="24"/>
          <w:szCs w:val="24"/>
          <w:lang w:val="es-ES_tradnl"/>
        </w:rPr>
      </w:pPr>
    </w:p>
    <w:p w14:paraId="3BD5835F" w14:textId="77777777" w:rsidR="00224492" w:rsidRDefault="00224492" w:rsidP="005769AC">
      <w:pPr>
        <w:pStyle w:val="Heading1"/>
        <w:spacing w:before="118" w:line="220" w:lineRule="auto"/>
        <w:ind w:right="1619"/>
        <w:rPr>
          <w:rFonts w:ascii="Aptos" w:hAnsi="Aptos"/>
          <w:sz w:val="24"/>
          <w:szCs w:val="24"/>
          <w:lang w:val="es-ES_tradnl"/>
        </w:rPr>
      </w:pPr>
    </w:p>
    <w:p w14:paraId="4F1DBA89" w14:textId="77777777" w:rsidR="00224492" w:rsidRDefault="00224492" w:rsidP="005769AC">
      <w:pPr>
        <w:pStyle w:val="Heading1"/>
        <w:spacing w:before="118" w:line="220" w:lineRule="auto"/>
        <w:ind w:right="1619"/>
        <w:rPr>
          <w:rFonts w:ascii="Aptos" w:hAnsi="Aptos"/>
          <w:sz w:val="24"/>
          <w:szCs w:val="24"/>
          <w:lang w:val="es-ES_tradnl"/>
        </w:rPr>
      </w:pPr>
    </w:p>
    <w:p w14:paraId="3FEF0961" w14:textId="77777777" w:rsidR="00224492" w:rsidRDefault="00224492" w:rsidP="005769AC">
      <w:pPr>
        <w:pStyle w:val="Heading1"/>
        <w:spacing w:before="118" w:line="220" w:lineRule="auto"/>
        <w:ind w:right="1619"/>
        <w:rPr>
          <w:rFonts w:ascii="Aptos" w:hAnsi="Aptos"/>
          <w:sz w:val="24"/>
          <w:szCs w:val="24"/>
          <w:lang w:val="es-ES_tradnl"/>
        </w:rPr>
      </w:pPr>
    </w:p>
    <w:p w14:paraId="69CE0480" w14:textId="77777777" w:rsidR="00224492" w:rsidRDefault="00224492" w:rsidP="005769AC">
      <w:pPr>
        <w:pStyle w:val="Heading1"/>
        <w:spacing w:before="118" w:line="220" w:lineRule="auto"/>
        <w:ind w:right="1619"/>
        <w:rPr>
          <w:rFonts w:ascii="Aptos" w:hAnsi="Aptos"/>
          <w:sz w:val="24"/>
          <w:szCs w:val="24"/>
          <w:lang w:val="es-ES_tradnl"/>
        </w:rPr>
      </w:pPr>
    </w:p>
    <w:p w14:paraId="6478A407" w14:textId="77777777" w:rsidR="00224492" w:rsidRDefault="00224492" w:rsidP="005769AC">
      <w:pPr>
        <w:pStyle w:val="Heading1"/>
        <w:spacing w:before="118" w:line="220" w:lineRule="auto"/>
        <w:ind w:right="1619"/>
        <w:rPr>
          <w:rFonts w:ascii="Aptos" w:hAnsi="Aptos"/>
          <w:sz w:val="24"/>
          <w:szCs w:val="24"/>
          <w:lang w:val="es-ES_tradnl"/>
        </w:rPr>
      </w:pPr>
    </w:p>
    <w:p w14:paraId="0DA4A0DC" w14:textId="77777777" w:rsidR="00224492" w:rsidRDefault="00224492" w:rsidP="005769AC">
      <w:pPr>
        <w:pStyle w:val="Heading1"/>
        <w:spacing w:before="118" w:line="220" w:lineRule="auto"/>
        <w:ind w:right="1619"/>
        <w:rPr>
          <w:rFonts w:ascii="Aptos" w:hAnsi="Aptos"/>
          <w:sz w:val="24"/>
          <w:szCs w:val="24"/>
          <w:lang w:val="es-ES_tradnl"/>
        </w:rPr>
      </w:pPr>
    </w:p>
    <w:p w14:paraId="39D138F3" w14:textId="7AEDBE26" w:rsidR="005769AC" w:rsidRPr="006D75D1" w:rsidRDefault="005769AC" w:rsidP="005769AC">
      <w:pPr>
        <w:pStyle w:val="Heading1"/>
        <w:spacing w:before="118" w:line="220" w:lineRule="auto"/>
        <w:ind w:right="1619"/>
        <w:rPr>
          <w:rFonts w:ascii="Aptos" w:hAnsi="Aptos"/>
          <w:b w:val="0"/>
          <w:bCs w:val="0"/>
          <w:spacing w:val="-18"/>
          <w:sz w:val="40"/>
          <w:szCs w:val="40"/>
          <w:lang w:val="es-ES_tradnl"/>
        </w:rPr>
      </w:pPr>
      <w:r w:rsidRPr="006D75D1">
        <w:rPr>
          <w:rFonts w:ascii="Aptos" w:hAnsi="Aptos"/>
          <w:sz w:val="40"/>
          <w:szCs w:val="40"/>
          <w:lang w:val="es-ES_tradnl"/>
        </w:rPr>
        <w:t>ANEXO A:</w:t>
      </w:r>
    </w:p>
    <w:p w14:paraId="60886FF8" w14:textId="77777777" w:rsidR="00224492" w:rsidRDefault="00224492" w:rsidP="005769AC">
      <w:pPr>
        <w:pStyle w:val="Heading1"/>
        <w:spacing w:before="118" w:line="220" w:lineRule="auto"/>
        <w:ind w:right="1619"/>
        <w:rPr>
          <w:rFonts w:ascii="Aptos" w:hAnsi="Aptos"/>
          <w:sz w:val="24"/>
          <w:szCs w:val="24"/>
          <w:lang w:val="es-ES_tradnl"/>
        </w:rPr>
      </w:pPr>
    </w:p>
    <w:p w14:paraId="2A8283D7" w14:textId="7FBBBE82" w:rsidR="005769AC" w:rsidRPr="004E629D" w:rsidRDefault="005769AC" w:rsidP="005769AC">
      <w:pPr>
        <w:pStyle w:val="Heading1"/>
        <w:spacing w:before="118" w:line="220" w:lineRule="auto"/>
        <w:ind w:right="1619"/>
        <w:rPr>
          <w:rFonts w:ascii="Aptos" w:hAnsi="Aptos"/>
          <w:b w:val="0"/>
          <w:bCs w:val="0"/>
          <w:sz w:val="24"/>
          <w:szCs w:val="24"/>
          <w:lang w:val="es-ES_tradnl"/>
        </w:rPr>
      </w:pPr>
      <w:r w:rsidRPr="004E629D">
        <w:rPr>
          <w:rFonts w:ascii="Aptos" w:hAnsi="Aptos"/>
          <w:sz w:val="24"/>
          <w:szCs w:val="24"/>
          <w:lang w:val="es-ES_tradnl"/>
        </w:rPr>
        <w:t>Médicos y otros proveedores que brindan atención médica en el Hospital</w:t>
      </w:r>
    </w:p>
    <w:p w14:paraId="6C08A678" w14:textId="77777777" w:rsidR="005769AC" w:rsidRPr="004E629D" w:rsidRDefault="005769AC" w:rsidP="005769AC">
      <w:pPr>
        <w:pStyle w:val="BodyText"/>
        <w:spacing w:before="165" w:line="295" w:lineRule="auto"/>
        <w:ind w:right="329"/>
        <w:rPr>
          <w:rFonts w:ascii="Aptos" w:hAnsi="Aptos"/>
          <w:sz w:val="24"/>
          <w:szCs w:val="24"/>
          <w:lang w:val="es-ES_tradnl"/>
        </w:rPr>
      </w:pPr>
      <w:r w:rsidRPr="004E629D">
        <w:rPr>
          <w:rFonts w:ascii="Aptos" w:hAnsi="Aptos"/>
          <w:sz w:val="24"/>
          <w:szCs w:val="24"/>
          <w:lang w:val="es-ES_tradnl"/>
        </w:rPr>
        <w:t xml:space="preserve">Esta Política de Asistencia Financiera se aplica a los </w:t>
      </w:r>
      <w:r w:rsidRPr="004E629D">
        <w:rPr>
          <w:rFonts w:ascii="Aptos" w:hAnsi="Aptos"/>
          <w:b/>
          <w:sz w:val="24"/>
          <w:szCs w:val="24"/>
          <w:lang w:val="es-ES_tradnl"/>
        </w:rPr>
        <w:t xml:space="preserve">consultorios médicos propios </w:t>
      </w:r>
      <w:r w:rsidRPr="004E629D">
        <w:rPr>
          <w:rFonts w:ascii="Aptos" w:hAnsi="Aptos"/>
          <w:sz w:val="24"/>
          <w:szCs w:val="24"/>
          <w:lang w:val="es-ES_tradnl"/>
        </w:rPr>
        <w:t xml:space="preserve">dentro del marco de los Servicios cubiertos prestados por los médicos de </w:t>
      </w:r>
      <w:r w:rsidRPr="004E629D">
        <w:rPr>
          <w:rFonts w:ascii="Aptos" w:hAnsi="Aptos"/>
          <w:b/>
          <w:sz w:val="24"/>
          <w:szCs w:val="24"/>
          <w:lang w:val="es-ES_tradnl"/>
        </w:rPr>
        <w:t xml:space="preserve">consultorios médicos propios </w:t>
      </w:r>
      <w:r w:rsidRPr="004E629D">
        <w:rPr>
          <w:rFonts w:ascii="Aptos" w:hAnsi="Aptos"/>
          <w:sz w:val="24"/>
          <w:szCs w:val="24"/>
          <w:lang w:val="es-ES_tradnl"/>
        </w:rPr>
        <w:t>del Hospital. Los médicos u otros proveedores de atención médica que presten servicios dentro del Hospital no están obligados, en otros sentidos, a seguir esta política.</w:t>
      </w:r>
    </w:p>
    <w:p w14:paraId="22E741DB" w14:textId="294B5591" w:rsidR="005769AC" w:rsidRPr="004E629D" w:rsidRDefault="005769AC" w:rsidP="005769AC">
      <w:pPr>
        <w:pStyle w:val="BodyText"/>
        <w:spacing w:before="150" w:line="295" w:lineRule="auto"/>
        <w:ind w:right="175"/>
        <w:rPr>
          <w:rFonts w:ascii="Aptos" w:hAnsi="Aptos"/>
          <w:spacing w:val="-2"/>
          <w:w w:val="110"/>
          <w:sz w:val="24"/>
          <w:szCs w:val="24"/>
          <w:lang w:val="es-ES_tradnl"/>
        </w:rPr>
      </w:pPr>
      <w:r w:rsidRPr="004E629D">
        <w:rPr>
          <w:rFonts w:ascii="Aptos" w:hAnsi="Aptos"/>
          <w:sz w:val="24"/>
          <w:szCs w:val="24"/>
          <w:lang w:val="es-ES_tradnl"/>
        </w:rPr>
        <w:t xml:space="preserve">Hay copias sin costo de una lista de médicos y otros proveedores de atención médica que brindan atención en el Hospital, previa solicitud por escrito a los Servicios Financieros para Pacientes de </w:t>
      </w:r>
      <w:r w:rsidR="00087006" w:rsidRPr="004E629D">
        <w:rPr>
          <w:rFonts w:ascii="Aptos" w:hAnsi="Aptos"/>
          <w:b/>
          <w:bCs/>
          <w:sz w:val="24"/>
          <w:szCs w:val="24"/>
        </w:rPr>
        <w:t>Maria Parham Health / Maria Parham Franklin, Patient Financial Services at 566 Ruin Creek Rd, Henderson, NC 27536 / 100 Hospital Dr, Louisburg, NC 27549</w:t>
      </w:r>
      <w:r w:rsidRPr="004E629D">
        <w:rPr>
          <w:rFonts w:ascii="Aptos" w:hAnsi="Aptos"/>
          <w:sz w:val="24"/>
          <w:szCs w:val="24"/>
          <w:lang w:val="es-ES_tradnl"/>
        </w:rPr>
        <w:t xml:space="preserve">. La lista también se puede descargar en </w:t>
      </w:r>
      <w:r w:rsidR="005F0BD0">
        <w:rPr>
          <w:rFonts w:ascii="Aptos" w:hAnsi="Aptos"/>
          <w:sz w:val="24"/>
          <w:szCs w:val="24"/>
          <w:lang w:val="es-ES_tradnl"/>
        </w:rPr>
        <w:t>www.mariaparham.com</w:t>
      </w:r>
      <w:r w:rsidRPr="004E629D">
        <w:rPr>
          <w:rFonts w:ascii="Aptos" w:hAnsi="Aptos"/>
          <w:sz w:val="24"/>
          <w:szCs w:val="24"/>
          <w:lang w:val="es-ES_tradnl"/>
        </w:rPr>
        <w:t>.</w:t>
      </w:r>
    </w:p>
    <w:p w14:paraId="536E8691" w14:textId="77777777" w:rsidR="00087006" w:rsidRPr="004E629D" w:rsidRDefault="00087006" w:rsidP="005769AC">
      <w:pPr>
        <w:pStyle w:val="Heading1"/>
        <w:spacing w:before="132" w:line="220" w:lineRule="auto"/>
        <w:ind w:right="360"/>
        <w:rPr>
          <w:rFonts w:ascii="Aptos" w:hAnsi="Aptos"/>
          <w:sz w:val="24"/>
          <w:szCs w:val="24"/>
          <w:lang w:val="es-ES_tradnl"/>
        </w:rPr>
      </w:pPr>
      <w:bookmarkStart w:id="6" w:name="ATTACHMENT_B:_Financial_Assistance_Disco"/>
      <w:bookmarkEnd w:id="6"/>
    </w:p>
    <w:p w14:paraId="3093AEA4" w14:textId="77777777" w:rsidR="00087006" w:rsidRPr="004E629D" w:rsidRDefault="00087006" w:rsidP="005769AC">
      <w:pPr>
        <w:pStyle w:val="Heading1"/>
        <w:spacing w:before="132" w:line="220" w:lineRule="auto"/>
        <w:ind w:right="360"/>
        <w:rPr>
          <w:rFonts w:ascii="Aptos" w:hAnsi="Aptos"/>
          <w:sz w:val="24"/>
          <w:szCs w:val="24"/>
          <w:lang w:val="es-ES_tradnl"/>
        </w:rPr>
      </w:pPr>
    </w:p>
    <w:p w14:paraId="7F14422A" w14:textId="77777777" w:rsidR="00087006" w:rsidRPr="004E629D" w:rsidRDefault="00087006" w:rsidP="005769AC">
      <w:pPr>
        <w:pStyle w:val="Heading1"/>
        <w:spacing w:before="132" w:line="220" w:lineRule="auto"/>
        <w:ind w:right="360"/>
        <w:rPr>
          <w:rFonts w:ascii="Aptos" w:hAnsi="Aptos"/>
          <w:sz w:val="24"/>
          <w:szCs w:val="24"/>
          <w:lang w:val="es-ES_tradnl"/>
        </w:rPr>
      </w:pPr>
    </w:p>
    <w:p w14:paraId="4A123886" w14:textId="77777777" w:rsidR="00087006" w:rsidRPr="004E629D" w:rsidRDefault="00087006" w:rsidP="005769AC">
      <w:pPr>
        <w:pStyle w:val="Heading1"/>
        <w:spacing w:before="132" w:line="220" w:lineRule="auto"/>
        <w:ind w:right="360"/>
        <w:rPr>
          <w:rFonts w:ascii="Aptos" w:hAnsi="Aptos"/>
          <w:sz w:val="24"/>
          <w:szCs w:val="24"/>
          <w:lang w:val="es-ES_tradnl"/>
        </w:rPr>
      </w:pPr>
    </w:p>
    <w:p w14:paraId="3EF6F822" w14:textId="77777777" w:rsidR="00087006" w:rsidRPr="004E629D" w:rsidRDefault="00087006" w:rsidP="005769AC">
      <w:pPr>
        <w:pStyle w:val="Heading1"/>
        <w:spacing w:before="132" w:line="220" w:lineRule="auto"/>
        <w:ind w:right="360"/>
        <w:rPr>
          <w:rFonts w:ascii="Aptos" w:hAnsi="Aptos"/>
          <w:sz w:val="24"/>
          <w:szCs w:val="24"/>
          <w:lang w:val="es-ES_tradnl"/>
        </w:rPr>
      </w:pPr>
    </w:p>
    <w:p w14:paraId="66917677" w14:textId="77777777" w:rsidR="00087006" w:rsidRDefault="00087006" w:rsidP="005769AC">
      <w:pPr>
        <w:pStyle w:val="Heading1"/>
        <w:spacing w:before="132" w:line="220" w:lineRule="auto"/>
        <w:ind w:right="360"/>
        <w:rPr>
          <w:rFonts w:ascii="Aptos" w:hAnsi="Aptos"/>
          <w:sz w:val="24"/>
          <w:szCs w:val="24"/>
          <w:lang w:val="es-ES_tradnl"/>
        </w:rPr>
      </w:pPr>
    </w:p>
    <w:p w14:paraId="4191C175" w14:textId="77777777" w:rsidR="00224492" w:rsidRDefault="00224492" w:rsidP="005769AC">
      <w:pPr>
        <w:pStyle w:val="Heading1"/>
        <w:spacing w:before="132" w:line="220" w:lineRule="auto"/>
        <w:ind w:right="360"/>
        <w:rPr>
          <w:rFonts w:ascii="Aptos" w:hAnsi="Aptos"/>
          <w:sz w:val="24"/>
          <w:szCs w:val="24"/>
          <w:lang w:val="es-ES_tradnl"/>
        </w:rPr>
      </w:pPr>
    </w:p>
    <w:p w14:paraId="0ED396AD" w14:textId="77777777" w:rsidR="00224492" w:rsidRDefault="00224492" w:rsidP="005769AC">
      <w:pPr>
        <w:pStyle w:val="Heading1"/>
        <w:spacing w:before="132" w:line="220" w:lineRule="auto"/>
        <w:ind w:right="360"/>
        <w:rPr>
          <w:rFonts w:ascii="Aptos" w:hAnsi="Aptos"/>
          <w:sz w:val="24"/>
          <w:szCs w:val="24"/>
          <w:lang w:val="es-ES_tradnl"/>
        </w:rPr>
      </w:pPr>
    </w:p>
    <w:p w14:paraId="79F94E37" w14:textId="77777777" w:rsidR="00224492" w:rsidRDefault="00224492" w:rsidP="005769AC">
      <w:pPr>
        <w:pStyle w:val="Heading1"/>
        <w:spacing w:before="132" w:line="220" w:lineRule="auto"/>
        <w:ind w:right="360"/>
        <w:rPr>
          <w:rFonts w:ascii="Aptos" w:hAnsi="Aptos"/>
          <w:sz w:val="24"/>
          <w:szCs w:val="24"/>
          <w:lang w:val="es-ES_tradnl"/>
        </w:rPr>
      </w:pPr>
    </w:p>
    <w:p w14:paraId="1CB5B372" w14:textId="77777777" w:rsidR="00224492" w:rsidRDefault="00224492" w:rsidP="005769AC">
      <w:pPr>
        <w:pStyle w:val="Heading1"/>
        <w:spacing w:before="132" w:line="220" w:lineRule="auto"/>
        <w:ind w:right="360"/>
        <w:rPr>
          <w:rFonts w:ascii="Aptos" w:hAnsi="Aptos"/>
          <w:sz w:val="24"/>
          <w:szCs w:val="24"/>
          <w:lang w:val="es-ES_tradnl"/>
        </w:rPr>
      </w:pPr>
    </w:p>
    <w:p w14:paraId="21300515" w14:textId="77777777" w:rsidR="00224492" w:rsidRDefault="00224492" w:rsidP="005769AC">
      <w:pPr>
        <w:pStyle w:val="Heading1"/>
        <w:spacing w:before="132" w:line="220" w:lineRule="auto"/>
        <w:ind w:right="360"/>
        <w:rPr>
          <w:rFonts w:ascii="Aptos" w:hAnsi="Aptos"/>
          <w:sz w:val="24"/>
          <w:szCs w:val="24"/>
          <w:lang w:val="es-ES_tradnl"/>
        </w:rPr>
      </w:pPr>
    </w:p>
    <w:p w14:paraId="0BC34491" w14:textId="77777777" w:rsidR="00224492" w:rsidRDefault="00224492" w:rsidP="005769AC">
      <w:pPr>
        <w:pStyle w:val="Heading1"/>
        <w:spacing w:before="132" w:line="220" w:lineRule="auto"/>
        <w:ind w:right="360"/>
        <w:rPr>
          <w:rFonts w:ascii="Aptos" w:hAnsi="Aptos"/>
          <w:sz w:val="24"/>
          <w:szCs w:val="24"/>
          <w:lang w:val="es-ES_tradnl"/>
        </w:rPr>
      </w:pPr>
    </w:p>
    <w:p w14:paraId="361390D4" w14:textId="77777777" w:rsidR="00224492" w:rsidRDefault="00224492" w:rsidP="005769AC">
      <w:pPr>
        <w:pStyle w:val="Heading1"/>
        <w:spacing w:before="132" w:line="220" w:lineRule="auto"/>
        <w:ind w:right="360"/>
        <w:rPr>
          <w:rFonts w:ascii="Aptos" w:hAnsi="Aptos"/>
          <w:sz w:val="24"/>
          <w:szCs w:val="24"/>
          <w:lang w:val="es-ES_tradnl"/>
        </w:rPr>
      </w:pPr>
    </w:p>
    <w:p w14:paraId="71A56C2A" w14:textId="77777777" w:rsidR="00224492" w:rsidRDefault="00224492" w:rsidP="005769AC">
      <w:pPr>
        <w:pStyle w:val="Heading1"/>
        <w:spacing w:before="132" w:line="220" w:lineRule="auto"/>
        <w:ind w:right="360"/>
        <w:rPr>
          <w:rFonts w:ascii="Aptos" w:hAnsi="Aptos"/>
          <w:sz w:val="24"/>
          <w:szCs w:val="24"/>
          <w:lang w:val="es-ES_tradnl"/>
        </w:rPr>
      </w:pPr>
    </w:p>
    <w:p w14:paraId="3EACA282" w14:textId="77777777" w:rsidR="00224492" w:rsidRDefault="00224492" w:rsidP="005769AC">
      <w:pPr>
        <w:pStyle w:val="Heading1"/>
        <w:spacing w:before="132" w:line="220" w:lineRule="auto"/>
        <w:ind w:right="360"/>
        <w:rPr>
          <w:rFonts w:ascii="Aptos" w:hAnsi="Aptos"/>
          <w:sz w:val="24"/>
          <w:szCs w:val="24"/>
          <w:lang w:val="es-ES_tradnl"/>
        </w:rPr>
      </w:pPr>
    </w:p>
    <w:p w14:paraId="47FF02F4" w14:textId="77777777" w:rsidR="00224492" w:rsidRDefault="00224492" w:rsidP="005769AC">
      <w:pPr>
        <w:pStyle w:val="Heading1"/>
        <w:spacing w:before="132" w:line="220" w:lineRule="auto"/>
        <w:ind w:right="360"/>
        <w:rPr>
          <w:rFonts w:ascii="Aptos" w:hAnsi="Aptos"/>
          <w:sz w:val="24"/>
          <w:szCs w:val="24"/>
          <w:lang w:val="es-ES_tradnl"/>
        </w:rPr>
      </w:pPr>
    </w:p>
    <w:p w14:paraId="1BAF524A" w14:textId="77777777" w:rsidR="00224492" w:rsidRPr="004E629D" w:rsidRDefault="00224492" w:rsidP="005769AC">
      <w:pPr>
        <w:pStyle w:val="Heading1"/>
        <w:spacing w:before="132" w:line="220" w:lineRule="auto"/>
        <w:ind w:right="360"/>
        <w:rPr>
          <w:rFonts w:ascii="Aptos" w:hAnsi="Aptos"/>
          <w:sz w:val="24"/>
          <w:szCs w:val="24"/>
          <w:lang w:val="es-ES_tradnl"/>
        </w:rPr>
      </w:pPr>
    </w:p>
    <w:p w14:paraId="7A321552" w14:textId="77777777" w:rsidR="00087006" w:rsidRPr="004E629D" w:rsidRDefault="00087006" w:rsidP="005769AC">
      <w:pPr>
        <w:pStyle w:val="Heading1"/>
        <w:spacing w:before="132" w:line="220" w:lineRule="auto"/>
        <w:ind w:right="360"/>
        <w:rPr>
          <w:rFonts w:ascii="Aptos" w:hAnsi="Aptos"/>
          <w:sz w:val="24"/>
          <w:szCs w:val="24"/>
          <w:lang w:val="es-ES_tradnl"/>
        </w:rPr>
      </w:pPr>
    </w:p>
    <w:p w14:paraId="46D00944" w14:textId="77777777" w:rsidR="00087006" w:rsidRPr="004E629D" w:rsidRDefault="00087006" w:rsidP="005769AC">
      <w:pPr>
        <w:pStyle w:val="Heading1"/>
        <w:spacing w:before="132" w:line="220" w:lineRule="auto"/>
        <w:ind w:right="360"/>
        <w:rPr>
          <w:rFonts w:ascii="Aptos" w:hAnsi="Aptos"/>
          <w:sz w:val="24"/>
          <w:szCs w:val="24"/>
          <w:lang w:val="es-ES_tradnl"/>
        </w:rPr>
      </w:pPr>
    </w:p>
    <w:p w14:paraId="56790D3F" w14:textId="77777777" w:rsidR="00224492" w:rsidRDefault="00224492" w:rsidP="005769AC">
      <w:pPr>
        <w:pStyle w:val="Heading1"/>
        <w:spacing w:before="132" w:line="220" w:lineRule="auto"/>
        <w:ind w:right="360"/>
        <w:rPr>
          <w:rFonts w:ascii="Aptos" w:hAnsi="Aptos"/>
          <w:sz w:val="24"/>
          <w:szCs w:val="24"/>
          <w:lang w:val="es-ES_tradnl"/>
        </w:rPr>
      </w:pPr>
    </w:p>
    <w:p w14:paraId="1CD63691" w14:textId="2CC8AE54" w:rsidR="005769AC" w:rsidRPr="006D75D1" w:rsidRDefault="005769AC" w:rsidP="005769AC">
      <w:pPr>
        <w:pStyle w:val="Heading1"/>
        <w:spacing w:before="132" w:line="220" w:lineRule="auto"/>
        <w:ind w:right="360"/>
        <w:rPr>
          <w:rFonts w:ascii="Aptos" w:hAnsi="Aptos"/>
          <w:b w:val="0"/>
          <w:bCs w:val="0"/>
          <w:w w:val="90"/>
          <w:sz w:val="40"/>
          <w:szCs w:val="40"/>
          <w:lang w:val="es-ES_tradnl"/>
        </w:rPr>
      </w:pPr>
      <w:r w:rsidRPr="006D75D1">
        <w:rPr>
          <w:rFonts w:ascii="Aptos" w:hAnsi="Aptos"/>
          <w:sz w:val="40"/>
          <w:szCs w:val="40"/>
          <w:lang w:val="es-ES_tradnl"/>
        </w:rPr>
        <w:t xml:space="preserve">ANEXO B: </w:t>
      </w:r>
    </w:p>
    <w:p w14:paraId="60F82181" w14:textId="77777777" w:rsidR="005769AC" w:rsidRPr="004E629D" w:rsidRDefault="005769AC" w:rsidP="005769AC">
      <w:pPr>
        <w:pStyle w:val="BodyText"/>
        <w:spacing w:before="11"/>
        <w:rPr>
          <w:rFonts w:ascii="Aptos" w:hAnsi="Aptos"/>
          <w:b/>
          <w:sz w:val="24"/>
          <w:szCs w:val="24"/>
          <w:lang w:val="es-ES_tradnl"/>
        </w:rPr>
      </w:pPr>
      <w:r w:rsidRPr="004E629D">
        <w:rPr>
          <w:rFonts w:ascii="Aptos" w:hAnsi="Aptos"/>
          <w:b/>
          <w:sz w:val="24"/>
          <w:szCs w:val="24"/>
          <w:lang w:val="es-ES_tradnl"/>
        </w:rPr>
        <w:t>Lineamientos sobre descuentos de la Asistencia financiera</w:t>
      </w:r>
    </w:p>
    <w:p w14:paraId="2A2A40FC" w14:textId="77777777" w:rsidR="005769AC" w:rsidRPr="004E629D" w:rsidRDefault="005769AC" w:rsidP="005769AC">
      <w:pPr>
        <w:spacing w:line="295" w:lineRule="auto"/>
        <w:rPr>
          <w:rFonts w:ascii="Aptos" w:hAnsi="Aptos"/>
          <w:lang w:val="es-ES_tradnl"/>
        </w:rPr>
      </w:pPr>
    </w:p>
    <w:tbl>
      <w:tblPr>
        <w:tblW w:w="8359" w:type="dxa"/>
        <w:tblLook w:val="04A0" w:firstRow="1" w:lastRow="0" w:firstColumn="1" w:lastColumn="0" w:noHBand="0" w:noVBand="1"/>
      </w:tblPr>
      <w:tblGrid>
        <w:gridCol w:w="2120"/>
        <w:gridCol w:w="1844"/>
        <w:gridCol w:w="1418"/>
        <w:gridCol w:w="1417"/>
        <w:gridCol w:w="1560"/>
      </w:tblGrid>
      <w:tr w:rsidR="005769AC" w:rsidRPr="004E629D" w14:paraId="3CFCB8B1" w14:textId="77777777" w:rsidTr="00CD1B2A">
        <w:trPr>
          <w:trHeight w:val="300"/>
        </w:trPr>
        <w:tc>
          <w:tcPr>
            <w:tcW w:w="2120" w:type="dxa"/>
            <w:tcBorders>
              <w:top w:val="single" w:sz="4" w:space="0" w:color="auto"/>
              <w:left w:val="single" w:sz="4" w:space="0" w:color="auto"/>
              <w:bottom w:val="nil"/>
              <w:right w:val="nil"/>
            </w:tcBorders>
            <w:shd w:val="clear" w:color="000000" w:fill="CAEDFB"/>
            <w:noWrap/>
            <w:vAlign w:val="bottom"/>
            <w:hideMark/>
          </w:tcPr>
          <w:p w14:paraId="320BC556" w14:textId="77777777" w:rsidR="005769AC" w:rsidRPr="004E629D" w:rsidRDefault="005769AC" w:rsidP="00CD1B2A">
            <w:pPr>
              <w:jc w:val="center"/>
              <w:rPr>
                <w:rFonts w:ascii="Aptos" w:hAnsi="Aptos"/>
                <w:b/>
                <w:bCs/>
                <w:color w:val="000000"/>
                <w:lang w:val="es-ES_tradnl"/>
              </w:rPr>
            </w:pPr>
            <w:r w:rsidRPr="004E629D">
              <w:rPr>
                <w:rFonts w:ascii="Aptos" w:hAnsi="Aptos"/>
                <w:b/>
                <w:color w:val="000000"/>
                <w:lang w:val="es-ES_tradnl"/>
              </w:rPr>
              <w:t>Tamaño de la familia</w:t>
            </w:r>
          </w:p>
        </w:tc>
        <w:tc>
          <w:tcPr>
            <w:tcW w:w="1844" w:type="dxa"/>
            <w:tcBorders>
              <w:top w:val="single" w:sz="4" w:space="0" w:color="auto"/>
              <w:left w:val="nil"/>
              <w:bottom w:val="nil"/>
              <w:right w:val="nil"/>
            </w:tcBorders>
            <w:shd w:val="clear" w:color="000000" w:fill="CAEDFB"/>
            <w:noWrap/>
            <w:vAlign w:val="bottom"/>
            <w:hideMark/>
          </w:tcPr>
          <w:p w14:paraId="089E3A27" w14:textId="77777777" w:rsidR="005769AC" w:rsidRPr="004E629D" w:rsidRDefault="005769AC" w:rsidP="00CD1B2A">
            <w:pPr>
              <w:rPr>
                <w:rFonts w:ascii="Aptos" w:hAnsi="Aptos"/>
                <w:color w:val="000000"/>
                <w:lang w:val="es-ES_tradnl"/>
              </w:rPr>
            </w:pPr>
            <w:r w:rsidRPr="004E629D">
              <w:rPr>
                <w:rFonts w:ascii="Aptos" w:hAnsi="Aptos"/>
                <w:color w:val="000000"/>
                <w:lang w:val="es-ES_tradnl"/>
              </w:rPr>
              <w:t> </w:t>
            </w:r>
          </w:p>
        </w:tc>
        <w:tc>
          <w:tcPr>
            <w:tcW w:w="1418" w:type="dxa"/>
            <w:tcBorders>
              <w:top w:val="single" w:sz="4" w:space="0" w:color="auto"/>
              <w:left w:val="nil"/>
              <w:bottom w:val="nil"/>
              <w:right w:val="nil"/>
            </w:tcBorders>
            <w:shd w:val="clear" w:color="000000" w:fill="CAEDFB"/>
            <w:noWrap/>
            <w:vAlign w:val="bottom"/>
            <w:hideMark/>
          </w:tcPr>
          <w:p w14:paraId="3929AFB4" w14:textId="77777777" w:rsidR="005769AC" w:rsidRPr="004E629D" w:rsidRDefault="005769AC" w:rsidP="00CD1B2A">
            <w:pPr>
              <w:rPr>
                <w:rFonts w:ascii="Aptos" w:hAnsi="Aptos"/>
                <w:color w:val="000000"/>
                <w:lang w:val="es-ES_tradnl"/>
              </w:rPr>
            </w:pPr>
            <w:r w:rsidRPr="004E629D">
              <w:rPr>
                <w:rFonts w:ascii="Aptos" w:hAnsi="Aptos"/>
                <w:color w:val="000000"/>
                <w:lang w:val="es-ES_tradnl"/>
              </w:rPr>
              <w:t> </w:t>
            </w:r>
          </w:p>
        </w:tc>
        <w:tc>
          <w:tcPr>
            <w:tcW w:w="1417" w:type="dxa"/>
            <w:tcBorders>
              <w:top w:val="single" w:sz="4" w:space="0" w:color="auto"/>
              <w:left w:val="nil"/>
              <w:bottom w:val="nil"/>
              <w:right w:val="nil"/>
            </w:tcBorders>
            <w:shd w:val="clear" w:color="000000" w:fill="CAEDFB"/>
            <w:noWrap/>
            <w:vAlign w:val="bottom"/>
            <w:hideMark/>
          </w:tcPr>
          <w:p w14:paraId="0F465573" w14:textId="77777777" w:rsidR="005769AC" w:rsidRPr="004E629D" w:rsidRDefault="005769AC" w:rsidP="00CD1B2A">
            <w:pPr>
              <w:rPr>
                <w:rFonts w:ascii="Aptos" w:hAnsi="Aptos"/>
                <w:color w:val="000000"/>
                <w:lang w:val="es-ES_tradnl"/>
              </w:rPr>
            </w:pPr>
            <w:r w:rsidRPr="004E629D">
              <w:rPr>
                <w:rFonts w:ascii="Aptos" w:hAnsi="Aptos"/>
                <w:color w:val="000000"/>
                <w:lang w:val="es-ES_tradnl"/>
              </w:rPr>
              <w:t> </w:t>
            </w:r>
          </w:p>
        </w:tc>
        <w:tc>
          <w:tcPr>
            <w:tcW w:w="1560" w:type="dxa"/>
            <w:tcBorders>
              <w:top w:val="single" w:sz="4" w:space="0" w:color="auto"/>
              <w:left w:val="nil"/>
              <w:bottom w:val="nil"/>
              <w:right w:val="single" w:sz="4" w:space="0" w:color="auto"/>
            </w:tcBorders>
            <w:shd w:val="clear" w:color="000000" w:fill="CAEDFB"/>
            <w:noWrap/>
            <w:vAlign w:val="bottom"/>
            <w:hideMark/>
          </w:tcPr>
          <w:p w14:paraId="1848D414" w14:textId="77777777" w:rsidR="005769AC" w:rsidRPr="004E629D" w:rsidRDefault="005769AC" w:rsidP="00CD1B2A">
            <w:pPr>
              <w:rPr>
                <w:rFonts w:ascii="Aptos" w:hAnsi="Aptos"/>
                <w:color w:val="000000"/>
                <w:lang w:val="es-ES_tradnl"/>
              </w:rPr>
            </w:pPr>
            <w:r w:rsidRPr="004E629D">
              <w:rPr>
                <w:rFonts w:ascii="Aptos" w:hAnsi="Aptos"/>
                <w:color w:val="000000"/>
                <w:lang w:val="es-ES_tradnl"/>
              </w:rPr>
              <w:t> </w:t>
            </w:r>
          </w:p>
        </w:tc>
      </w:tr>
      <w:tr w:rsidR="005769AC" w:rsidRPr="004E629D" w14:paraId="4DCCC4D1" w14:textId="77777777" w:rsidTr="00CD1B2A">
        <w:trPr>
          <w:trHeight w:val="300"/>
        </w:trPr>
        <w:tc>
          <w:tcPr>
            <w:tcW w:w="2120" w:type="dxa"/>
            <w:tcBorders>
              <w:top w:val="nil"/>
              <w:left w:val="single" w:sz="4" w:space="0" w:color="auto"/>
              <w:bottom w:val="nil"/>
              <w:right w:val="nil"/>
            </w:tcBorders>
            <w:shd w:val="clear" w:color="000000" w:fill="CAEDFB"/>
            <w:noWrap/>
            <w:vAlign w:val="bottom"/>
            <w:hideMark/>
          </w:tcPr>
          <w:p w14:paraId="46462555" w14:textId="77777777" w:rsidR="005769AC" w:rsidRPr="004E629D" w:rsidRDefault="005769AC" w:rsidP="00CD1B2A">
            <w:pPr>
              <w:jc w:val="center"/>
              <w:rPr>
                <w:rFonts w:ascii="Aptos" w:hAnsi="Aptos"/>
                <w:b/>
                <w:bCs/>
                <w:color w:val="000000"/>
                <w:lang w:val="es-ES_tradnl"/>
              </w:rPr>
            </w:pPr>
            <w:r w:rsidRPr="004E629D">
              <w:rPr>
                <w:rFonts w:ascii="Aptos" w:hAnsi="Aptos"/>
                <w:b/>
                <w:color w:val="000000"/>
                <w:lang w:val="es-ES_tradnl"/>
              </w:rPr>
              <w:t xml:space="preserve">en los 48 estados contiguos </w:t>
            </w:r>
          </w:p>
        </w:tc>
        <w:tc>
          <w:tcPr>
            <w:tcW w:w="1844" w:type="dxa"/>
            <w:tcBorders>
              <w:top w:val="nil"/>
              <w:left w:val="nil"/>
              <w:bottom w:val="nil"/>
              <w:right w:val="nil"/>
            </w:tcBorders>
            <w:shd w:val="clear" w:color="000000" w:fill="CAEDFB"/>
            <w:noWrap/>
            <w:vAlign w:val="bottom"/>
            <w:hideMark/>
          </w:tcPr>
          <w:p w14:paraId="0C130F37" w14:textId="77777777" w:rsidR="005769AC" w:rsidRPr="004E629D" w:rsidRDefault="005769AC" w:rsidP="00CD1B2A">
            <w:pPr>
              <w:jc w:val="center"/>
              <w:rPr>
                <w:rFonts w:ascii="Aptos" w:hAnsi="Aptos"/>
                <w:b/>
                <w:bCs/>
                <w:color w:val="000000"/>
                <w:lang w:val="es-ES_tradnl"/>
              </w:rPr>
            </w:pPr>
          </w:p>
        </w:tc>
        <w:tc>
          <w:tcPr>
            <w:tcW w:w="1418" w:type="dxa"/>
            <w:tcBorders>
              <w:top w:val="nil"/>
              <w:left w:val="nil"/>
              <w:bottom w:val="nil"/>
              <w:right w:val="nil"/>
            </w:tcBorders>
            <w:shd w:val="clear" w:color="000000" w:fill="CAEDFB"/>
            <w:noWrap/>
            <w:vAlign w:val="bottom"/>
            <w:hideMark/>
          </w:tcPr>
          <w:p w14:paraId="523B6295" w14:textId="77777777" w:rsidR="005769AC" w:rsidRPr="004E629D" w:rsidRDefault="005769AC" w:rsidP="00CD1B2A">
            <w:pPr>
              <w:rPr>
                <w:rFonts w:ascii="Aptos" w:hAnsi="Aptos"/>
                <w:b/>
                <w:bCs/>
                <w:color w:val="000000"/>
                <w:lang w:val="es-ES_tradnl"/>
              </w:rPr>
            </w:pPr>
            <w:r w:rsidRPr="004E629D">
              <w:rPr>
                <w:rFonts w:ascii="Aptos" w:hAnsi="Aptos"/>
                <w:b/>
                <w:color w:val="000000"/>
                <w:lang w:val="es-ES_tradnl"/>
              </w:rPr>
              <w:t> </w:t>
            </w:r>
          </w:p>
        </w:tc>
        <w:tc>
          <w:tcPr>
            <w:tcW w:w="1417" w:type="dxa"/>
            <w:tcBorders>
              <w:top w:val="nil"/>
              <w:left w:val="nil"/>
              <w:bottom w:val="nil"/>
              <w:right w:val="nil"/>
            </w:tcBorders>
            <w:shd w:val="clear" w:color="000000" w:fill="CAEDFB"/>
            <w:noWrap/>
            <w:vAlign w:val="bottom"/>
            <w:hideMark/>
          </w:tcPr>
          <w:p w14:paraId="4B41D169" w14:textId="77777777" w:rsidR="005769AC" w:rsidRPr="004E629D" w:rsidRDefault="005769AC" w:rsidP="00CD1B2A">
            <w:pPr>
              <w:rPr>
                <w:rFonts w:ascii="Aptos" w:hAnsi="Aptos"/>
                <w:b/>
                <w:bCs/>
                <w:color w:val="000000"/>
                <w:lang w:val="es-ES_tradnl"/>
              </w:rPr>
            </w:pPr>
            <w:r w:rsidRPr="004E629D">
              <w:rPr>
                <w:rFonts w:ascii="Aptos" w:hAnsi="Aptos"/>
                <w:b/>
                <w:color w:val="000000"/>
                <w:lang w:val="es-ES_tradnl"/>
              </w:rPr>
              <w:t> </w:t>
            </w:r>
          </w:p>
        </w:tc>
        <w:tc>
          <w:tcPr>
            <w:tcW w:w="1560" w:type="dxa"/>
            <w:tcBorders>
              <w:top w:val="nil"/>
              <w:left w:val="nil"/>
              <w:bottom w:val="nil"/>
              <w:right w:val="single" w:sz="4" w:space="0" w:color="auto"/>
            </w:tcBorders>
            <w:shd w:val="clear" w:color="000000" w:fill="CAEDFB"/>
            <w:noWrap/>
            <w:vAlign w:val="bottom"/>
            <w:hideMark/>
          </w:tcPr>
          <w:p w14:paraId="370B7679" w14:textId="77777777" w:rsidR="005769AC" w:rsidRPr="004E629D" w:rsidRDefault="005769AC" w:rsidP="00CD1B2A">
            <w:pPr>
              <w:rPr>
                <w:rFonts w:ascii="Aptos" w:hAnsi="Aptos"/>
                <w:b/>
                <w:bCs/>
                <w:color w:val="000000"/>
                <w:lang w:val="es-ES_tradnl"/>
              </w:rPr>
            </w:pPr>
            <w:r w:rsidRPr="004E629D">
              <w:rPr>
                <w:rFonts w:ascii="Aptos" w:hAnsi="Aptos"/>
                <w:b/>
                <w:color w:val="000000"/>
                <w:lang w:val="es-ES_tradnl"/>
              </w:rPr>
              <w:t> </w:t>
            </w:r>
          </w:p>
        </w:tc>
      </w:tr>
      <w:tr w:rsidR="005769AC" w:rsidRPr="004E629D" w14:paraId="4E13E1EB" w14:textId="77777777" w:rsidTr="00CD1B2A">
        <w:trPr>
          <w:trHeight w:val="315"/>
        </w:trPr>
        <w:tc>
          <w:tcPr>
            <w:tcW w:w="2120" w:type="dxa"/>
            <w:tcBorders>
              <w:top w:val="nil"/>
              <w:left w:val="single" w:sz="4" w:space="0" w:color="auto"/>
              <w:bottom w:val="single" w:sz="8" w:space="0" w:color="auto"/>
              <w:right w:val="nil"/>
            </w:tcBorders>
            <w:shd w:val="clear" w:color="000000" w:fill="CAEDFB"/>
            <w:noWrap/>
            <w:vAlign w:val="bottom"/>
            <w:hideMark/>
          </w:tcPr>
          <w:p w14:paraId="43A75CFE" w14:textId="77777777" w:rsidR="005769AC" w:rsidRPr="004E629D" w:rsidRDefault="005769AC" w:rsidP="00CD1B2A">
            <w:pPr>
              <w:jc w:val="center"/>
              <w:rPr>
                <w:rFonts w:ascii="Aptos" w:hAnsi="Aptos"/>
                <w:b/>
                <w:bCs/>
                <w:color w:val="000000"/>
                <w:lang w:val="es-ES_tradnl"/>
              </w:rPr>
            </w:pPr>
            <w:r w:rsidRPr="004E629D">
              <w:rPr>
                <w:rFonts w:ascii="Aptos" w:hAnsi="Aptos"/>
                <w:b/>
                <w:color w:val="000000"/>
                <w:lang w:val="es-ES_tradnl"/>
              </w:rPr>
              <w:t>y DC en 2025</w:t>
            </w:r>
          </w:p>
        </w:tc>
        <w:tc>
          <w:tcPr>
            <w:tcW w:w="1844" w:type="dxa"/>
            <w:tcBorders>
              <w:top w:val="nil"/>
              <w:left w:val="nil"/>
              <w:bottom w:val="single" w:sz="8" w:space="0" w:color="auto"/>
              <w:right w:val="nil"/>
            </w:tcBorders>
            <w:shd w:val="clear" w:color="000000" w:fill="CAEDFB"/>
            <w:noWrap/>
            <w:vAlign w:val="bottom"/>
            <w:hideMark/>
          </w:tcPr>
          <w:p w14:paraId="06A758AA" w14:textId="77777777" w:rsidR="005769AC" w:rsidRPr="004E629D" w:rsidRDefault="005769AC" w:rsidP="00CD1B2A">
            <w:pPr>
              <w:jc w:val="center"/>
              <w:rPr>
                <w:rFonts w:ascii="Aptos" w:hAnsi="Aptos"/>
                <w:b/>
                <w:bCs/>
                <w:color w:val="000000"/>
                <w:lang w:val="es-ES_tradnl"/>
              </w:rPr>
            </w:pPr>
            <w:r w:rsidRPr="004E629D">
              <w:rPr>
                <w:rFonts w:ascii="Aptos" w:hAnsi="Aptos"/>
                <w:b/>
                <w:color w:val="000000"/>
                <w:lang w:val="es-ES_tradnl"/>
              </w:rPr>
              <w:t>Nivel de pobreza federal</w:t>
            </w:r>
          </w:p>
        </w:tc>
        <w:tc>
          <w:tcPr>
            <w:tcW w:w="1418" w:type="dxa"/>
            <w:tcBorders>
              <w:top w:val="nil"/>
              <w:left w:val="nil"/>
              <w:bottom w:val="single" w:sz="8" w:space="0" w:color="auto"/>
              <w:right w:val="nil"/>
            </w:tcBorders>
            <w:shd w:val="clear" w:color="000000" w:fill="CAEDFB"/>
            <w:noWrap/>
            <w:vAlign w:val="bottom"/>
            <w:hideMark/>
          </w:tcPr>
          <w:p w14:paraId="5D0123CF" w14:textId="77777777" w:rsidR="005769AC" w:rsidRPr="004E629D" w:rsidRDefault="005769AC" w:rsidP="00CD1B2A">
            <w:pPr>
              <w:jc w:val="center"/>
              <w:rPr>
                <w:rFonts w:ascii="Aptos" w:hAnsi="Aptos"/>
                <w:b/>
                <w:bCs/>
                <w:color w:val="000000"/>
                <w:lang w:val="es-ES_tradnl"/>
              </w:rPr>
            </w:pPr>
            <w:r w:rsidRPr="004E629D">
              <w:rPr>
                <w:rFonts w:ascii="Aptos" w:hAnsi="Aptos"/>
                <w:b/>
                <w:color w:val="000000"/>
                <w:lang w:val="es-ES_tradnl"/>
              </w:rPr>
              <w:t>0-200 %</w:t>
            </w:r>
          </w:p>
        </w:tc>
        <w:tc>
          <w:tcPr>
            <w:tcW w:w="1417" w:type="dxa"/>
            <w:tcBorders>
              <w:top w:val="nil"/>
              <w:left w:val="nil"/>
              <w:bottom w:val="single" w:sz="8" w:space="0" w:color="auto"/>
              <w:right w:val="nil"/>
            </w:tcBorders>
            <w:shd w:val="clear" w:color="000000" w:fill="CAEDFB"/>
            <w:noWrap/>
            <w:vAlign w:val="bottom"/>
            <w:hideMark/>
          </w:tcPr>
          <w:p w14:paraId="0FC7A2EE" w14:textId="77777777" w:rsidR="005769AC" w:rsidRPr="004E629D" w:rsidRDefault="005769AC" w:rsidP="00CD1B2A">
            <w:pPr>
              <w:jc w:val="center"/>
              <w:rPr>
                <w:rFonts w:ascii="Aptos" w:hAnsi="Aptos"/>
                <w:b/>
                <w:bCs/>
                <w:color w:val="000000"/>
                <w:lang w:val="es-ES_tradnl"/>
              </w:rPr>
            </w:pPr>
            <w:r w:rsidRPr="004E629D">
              <w:rPr>
                <w:rFonts w:ascii="Aptos" w:hAnsi="Aptos"/>
                <w:b/>
                <w:color w:val="000000"/>
                <w:lang w:val="es-ES_tradnl"/>
              </w:rPr>
              <w:t>201-250 %</w:t>
            </w:r>
          </w:p>
        </w:tc>
        <w:tc>
          <w:tcPr>
            <w:tcW w:w="1560" w:type="dxa"/>
            <w:tcBorders>
              <w:top w:val="nil"/>
              <w:left w:val="nil"/>
              <w:bottom w:val="single" w:sz="8" w:space="0" w:color="auto"/>
              <w:right w:val="single" w:sz="4" w:space="0" w:color="auto"/>
            </w:tcBorders>
            <w:shd w:val="clear" w:color="000000" w:fill="CAEDFB"/>
            <w:noWrap/>
            <w:vAlign w:val="bottom"/>
            <w:hideMark/>
          </w:tcPr>
          <w:p w14:paraId="78C2390F" w14:textId="77777777" w:rsidR="005769AC" w:rsidRPr="004E629D" w:rsidRDefault="005769AC" w:rsidP="00CD1B2A">
            <w:pPr>
              <w:jc w:val="center"/>
              <w:rPr>
                <w:rFonts w:ascii="Aptos" w:hAnsi="Aptos"/>
                <w:b/>
                <w:bCs/>
                <w:color w:val="000000"/>
                <w:lang w:val="es-ES_tradnl"/>
              </w:rPr>
            </w:pPr>
            <w:r w:rsidRPr="004E629D">
              <w:rPr>
                <w:rFonts w:ascii="Aptos" w:hAnsi="Aptos"/>
                <w:b/>
                <w:color w:val="000000"/>
                <w:lang w:val="es-ES_tradnl"/>
              </w:rPr>
              <w:t>251-300 %</w:t>
            </w:r>
          </w:p>
        </w:tc>
      </w:tr>
      <w:tr w:rsidR="005769AC" w:rsidRPr="004E629D" w14:paraId="35B9A2BD" w14:textId="77777777" w:rsidTr="00CD1B2A">
        <w:trPr>
          <w:trHeight w:val="300"/>
        </w:trPr>
        <w:tc>
          <w:tcPr>
            <w:tcW w:w="2120" w:type="dxa"/>
            <w:tcBorders>
              <w:top w:val="nil"/>
              <w:left w:val="single" w:sz="4" w:space="0" w:color="auto"/>
              <w:bottom w:val="single" w:sz="4" w:space="0" w:color="auto"/>
              <w:right w:val="nil"/>
            </w:tcBorders>
            <w:shd w:val="clear" w:color="000000" w:fill="CAEDFB"/>
            <w:noWrap/>
            <w:vAlign w:val="bottom"/>
            <w:hideMark/>
          </w:tcPr>
          <w:p w14:paraId="6BCEDCBE" w14:textId="77777777" w:rsidR="005769AC" w:rsidRPr="004E629D" w:rsidRDefault="005769AC" w:rsidP="00CD1B2A">
            <w:pPr>
              <w:jc w:val="center"/>
              <w:rPr>
                <w:rFonts w:ascii="Aptos" w:hAnsi="Aptos"/>
                <w:b/>
                <w:bCs/>
                <w:color w:val="000000"/>
                <w:lang w:val="es-ES_tradnl"/>
              </w:rPr>
            </w:pPr>
            <w:r w:rsidRPr="004E629D">
              <w:rPr>
                <w:rFonts w:ascii="Aptos" w:hAnsi="Aptos"/>
                <w:b/>
                <w:color w:val="000000"/>
                <w:lang w:val="es-ES_tradnl"/>
              </w:rPr>
              <w:t>Descuentos</w:t>
            </w:r>
          </w:p>
        </w:tc>
        <w:tc>
          <w:tcPr>
            <w:tcW w:w="1844" w:type="dxa"/>
            <w:tcBorders>
              <w:top w:val="nil"/>
              <w:left w:val="nil"/>
              <w:bottom w:val="single" w:sz="4" w:space="0" w:color="auto"/>
              <w:right w:val="nil"/>
            </w:tcBorders>
            <w:shd w:val="clear" w:color="000000" w:fill="CAEDFB"/>
            <w:noWrap/>
            <w:vAlign w:val="bottom"/>
            <w:hideMark/>
          </w:tcPr>
          <w:p w14:paraId="79F76632" w14:textId="77777777" w:rsidR="005769AC" w:rsidRPr="004E629D" w:rsidRDefault="005769AC" w:rsidP="00CD1B2A">
            <w:pPr>
              <w:jc w:val="center"/>
              <w:rPr>
                <w:rFonts w:ascii="Aptos" w:hAnsi="Aptos"/>
                <w:b/>
                <w:bCs/>
                <w:color w:val="000000"/>
                <w:lang w:val="es-ES_tradnl"/>
              </w:rPr>
            </w:pPr>
            <w:r w:rsidRPr="004E629D">
              <w:rPr>
                <w:rFonts w:ascii="Aptos" w:hAnsi="Aptos"/>
                <w:b/>
                <w:color w:val="000000"/>
                <w:lang w:val="es-ES_tradnl"/>
              </w:rPr>
              <w:t> </w:t>
            </w:r>
          </w:p>
        </w:tc>
        <w:tc>
          <w:tcPr>
            <w:tcW w:w="1418" w:type="dxa"/>
            <w:tcBorders>
              <w:top w:val="nil"/>
              <w:left w:val="nil"/>
              <w:bottom w:val="single" w:sz="4" w:space="0" w:color="auto"/>
              <w:right w:val="nil"/>
            </w:tcBorders>
            <w:shd w:val="clear" w:color="000000" w:fill="CAEDFB"/>
            <w:noWrap/>
            <w:vAlign w:val="bottom"/>
            <w:hideMark/>
          </w:tcPr>
          <w:p w14:paraId="23189210" w14:textId="77777777" w:rsidR="005769AC" w:rsidRPr="004E629D" w:rsidRDefault="005769AC" w:rsidP="00CD1B2A">
            <w:pPr>
              <w:jc w:val="center"/>
              <w:rPr>
                <w:rFonts w:ascii="Aptos" w:hAnsi="Aptos"/>
                <w:b/>
                <w:bCs/>
                <w:color w:val="000000"/>
                <w:lang w:val="es-ES_tradnl"/>
              </w:rPr>
            </w:pPr>
            <w:r w:rsidRPr="004E629D">
              <w:rPr>
                <w:rFonts w:ascii="Aptos" w:hAnsi="Aptos"/>
                <w:b/>
                <w:color w:val="000000"/>
                <w:lang w:val="es-ES_tradnl"/>
              </w:rPr>
              <w:t>100 %</w:t>
            </w:r>
          </w:p>
        </w:tc>
        <w:tc>
          <w:tcPr>
            <w:tcW w:w="1417" w:type="dxa"/>
            <w:tcBorders>
              <w:top w:val="nil"/>
              <w:left w:val="nil"/>
              <w:bottom w:val="single" w:sz="4" w:space="0" w:color="auto"/>
              <w:right w:val="nil"/>
            </w:tcBorders>
            <w:shd w:val="clear" w:color="000000" w:fill="CAEDFB"/>
            <w:noWrap/>
            <w:vAlign w:val="bottom"/>
            <w:hideMark/>
          </w:tcPr>
          <w:p w14:paraId="00A83A12" w14:textId="77777777" w:rsidR="005769AC" w:rsidRPr="004E629D" w:rsidRDefault="005769AC" w:rsidP="00CD1B2A">
            <w:pPr>
              <w:jc w:val="center"/>
              <w:rPr>
                <w:rFonts w:ascii="Aptos" w:hAnsi="Aptos"/>
                <w:b/>
                <w:bCs/>
                <w:color w:val="000000"/>
                <w:lang w:val="es-ES_tradnl"/>
              </w:rPr>
            </w:pPr>
            <w:r w:rsidRPr="004E629D">
              <w:rPr>
                <w:rFonts w:ascii="Aptos" w:hAnsi="Aptos"/>
                <w:b/>
                <w:color w:val="000000"/>
                <w:lang w:val="es-ES_tradnl"/>
              </w:rPr>
              <w:t>75 %</w:t>
            </w:r>
          </w:p>
        </w:tc>
        <w:tc>
          <w:tcPr>
            <w:tcW w:w="1560" w:type="dxa"/>
            <w:tcBorders>
              <w:top w:val="nil"/>
              <w:left w:val="nil"/>
              <w:bottom w:val="single" w:sz="4" w:space="0" w:color="auto"/>
              <w:right w:val="single" w:sz="4" w:space="0" w:color="auto"/>
            </w:tcBorders>
            <w:shd w:val="clear" w:color="000000" w:fill="CAEDFB"/>
            <w:noWrap/>
            <w:vAlign w:val="bottom"/>
            <w:hideMark/>
          </w:tcPr>
          <w:p w14:paraId="50C8783D" w14:textId="77777777" w:rsidR="005769AC" w:rsidRPr="004E629D" w:rsidRDefault="005769AC" w:rsidP="00CD1B2A">
            <w:pPr>
              <w:jc w:val="center"/>
              <w:rPr>
                <w:rFonts w:ascii="Aptos" w:hAnsi="Aptos"/>
                <w:b/>
                <w:bCs/>
                <w:color w:val="000000"/>
                <w:lang w:val="es-ES_tradnl"/>
              </w:rPr>
            </w:pPr>
            <w:r w:rsidRPr="004E629D">
              <w:rPr>
                <w:rFonts w:ascii="Aptos" w:hAnsi="Aptos"/>
                <w:b/>
                <w:color w:val="000000"/>
                <w:lang w:val="es-ES_tradnl"/>
              </w:rPr>
              <w:t>50 %</w:t>
            </w:r>
          </w:p>
        </w:tc>
      </w:tr>
      <w:tr w:rsidR="005769AC" w:rsidRPr="004E629D" w14:paraId="23B84531" w14:textId="77777777" w:rsidTr="00CD1B2A">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DA50527"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1</w:t>
            </w:r>
          </w:p>
        </w:tc>
        <w:tc>
          <w:tcPr>
            <w:tcW w:w="1844" w:type="dxa"/>
            <w:tcBorders>
              <w:top w:val="nil"/>
              <w:left w:val="nil"/>
              <w:bottom w:val="single" w:sz="4" w:space="0" w:color="auto"/>
              <w:right w:val="single" w:sz="4" w:space="0" w:color="auto"/>
            </w:tcBorders>
            <w:shd w:val="clear" w:color="auto" w:fill="auto"/>
            <w:noWrap/>
            <w:vAlign w:val="bottom"/>
            <w:hideMark/>
          </w:tcPr>
          <w:p w14:paraId="2EC37080"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$15,060</w:t>
            </w:r>
          </w:p>
        </w:tc>
        <w:tc>
          <w:tcPr>
            <w:tcW w:w="1418" w:type="dxa"/>
            <w:tcBorders>
              <w:top w:val="nil"/>
              <w:left w:val="nil"/>
              <w:bottom w:val="single" w:sz="4" w:space="0" w:color="auto"/>
              <w:right w:val="single" w:sz="4" w:space="0" w:color="auto"/>
            </w:tcBorders>
            <w:shd w:val="clear" w:color="auto" w:fill="auto"/>
            <w:noWrap/>
            <w:vAlign w:val="bottom"/>
            <w:hideMark/>
          </w:tcPr>
          <w:p w14:paraId="1ABFB558"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$30,120</w:t>
            </w:r>
          </w:p>
        </w:tc>
        <w:tc>
          <w:tcPr>
            <w:tcW w:w="1417" w:type="dxa"/>
            <w:tcBorders>
              <w:top w:val="nil"/>
              <w:left w:val="nil"/>
              <w:bottom w:val="single" w:sz="4" w:space="0" w:color="auto"/>
              <w:right w:val="single" w:sz="4" w:space="0" w:color="auto"/>
            </w:tcBorders>
            <w:shd w:val="clear" w:color="auto" w:fill="auto"/>
            <w:noWrap/>
            <w:vAlign w:val="bottom"/>
            <w:hideMark/>
          </w:tcPr>
          <w:p w14:paraId="479CB873"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$37,650</w:t>
            </w:r>
          </w:p>
        </w:tc>
        <w:tc>
          <w:tcPr>
            <w:tcW w:w="1560" w:type="dxa"/>
            <w:tcBorders>
              <w:top w:val="nil"/>
              <w:left w:val="nil"/>
              <w:bottom w:val="single" w:sz="4" w:space="0" w:color="auto"/>
              <w:right w:val="single" w:sz="4" w:space="0" w:color="auto"/>
            </w:tcBorders>
            <w:shd w:val="clear" w:color="auto" w:fill="auto"/>
            <w:noWrap/>
            <w:vAlign w:val="bottom"/>
            <w:hideMark/>
          </w:tcPr>
          <w:p w14:paraId="625CF88E"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$45,180</w:t>
            </w:r>
          </w:p>
        </w:tc>
      </w:tr>
      <w:tr w:rsidR="005769AC" w:rsidRPr="004E629D" w14:paraId="79B5F64E" w14:textId="77777777" w:rsidTr="00CD1B2A">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F4327F6"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2</w:t>
            </w:r>
          </w:p>
        </w:tc>
        <w:tc>
          <w:tcPr>
            <w:tcW w:w="1844" w:type="dxa"/>
            <w:tcBorders>
              <w:top w:val="nil"/>
              <w:left w:val="nil"/>
              <w:bottom w:val="single" w:sz="4" w:space="0" w:color="auto"/>
              <w:right w:val="single" w:sz="4" w:space="0" w:color="auto"/>
            </w:tcBorders>
            <w:shd w:val="clear" w:color="auto" w:fill="auto"/>
            <w:noWrap/>
            <w:vAlign w:val="bottom"/>
            <w:hideMark/>
          </w:tcPr>
          <w:p w14:paraId="7E610D49"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$20,440</w:t>
            </w:r>
          </w:p>
        </w:tc>
        <w:tc>
          <w:tcPr>
            <w:tcW w:w="1418" w:type="dxa"/>
            <w:tcBorders>
              <w:top w:val="nil"/>
              <w:left w:val="nil"/>
              <w:bottom w:val="single" w:sz="4" w:space="0" w:color="auto"/>
              <w:right w:val="single" w:sz="4" w:space="0" w:color="auto"/>
            </w:tcBorders>
            <w:shd w:val="clear" w:color="auto" w:fill="auto"/>
            <w:noWrap/>
            <w:vAlign w:val="bottom"/>
            <w:hideMark/>
          </w:tcPr>
          <w:p w14:paraId="6C47B2B6"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$40,880</w:t>
            </w:r>
          </w:p>
        </w:tc>
        <w:tc>
          <w:tcPr>
            <w:tcW w:w="1417" w:type="dxa"/>
            <w:tcBorders>
              <w:top w:val="nil"/>
              <w:left w:val="nil"/>
              <w:bottom w:val="single" w:sz="4" w:space="0" w:color="auto"/>
              <w:right w:val="single" w:sz="4" w:space="0" w:color="auto"/>
            </w:tcBorders>
            <w:shd w:val="clear" w:color="auto" w:fill="auto"/>
            <w:noWrap/>
            <w:vAlign w:val="bottom"/>
            <w:hideMark/>
          </w:tcPr>
          <w:p w14:paraId="159FE070"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$51,100</w:t>
            </w:r>
          </w:p>
        </w:tc>
        <w:tc>
          <w:tcPr>
            <w:tcW w:w="1560" w:type="dxa"/>
            <w:tcBorders>
              <w:top w:val="nil"/>
              <w:left w:val="nil"/>
              <w:bottom w:val="single" w:sz="4" w:space="0" w:color="auto"/>
              <w:right w:val="single" w:sz="4" w:space="0" w:color="auto"/>
            </w:tcBorders>
            <w:shd w:val="clear" w:color="auto" w:fill="auto"/>
            <w:noWrap/>
            <w:vAlign w:val="bottom"/>
            <w:hideMark/>
          </w:tcPr>
          <w:p w14:paraId="3171E6F4"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$61,320</w:t>
            </w:r>
          </w:p>
        </w:tc>
      </w:tr>
      <w:tr w:rsidR="005769AC" w:rsidRPr="004E629D" w14:paraId="19AA4F26" w14:textId="77777777" w:rsidTr="00CD1B2A">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4B6FC1B"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3</w:t>
            </w:r>
          </w:p>
        </w:tc>
        <w:tc>
          <w:tcPr>
            <w:tcW w:w="1844" w:type="dxa"/>
            <w:tcBorders>
              <w:top w:val="nil"/>
              <w:left w:val="nil"/>
              <w:bottom w:val="single" w:sz="4" w:space="0" w:color="auto"/>
              <w:right w:val="single" w:sz="4" w:space="0" w:color="auto"/>
            </w:tcBorders>
            <w:shd w:val="clear" w:color="auto" w:fill="auto"/>
            <w:noWrap/>
            <w:vAlign w:val="bottom"/>
            <w:hideMark/>
          </w:tcPr>
          <w:p w14:paraId="0AF275B3"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$25,820</w:t>
            </w:r>
          </w:p>
        </w:tc>
        <w:tc>
          <w:tcPr>
            <w:tcW w:w="1418" w:type="dxa"/>
            <w:tcBorders>
              <w:top w:val="nil"/>
              <w:left w:val="nil"/>
              <w:bottom w:val="single" w:sz="4" w:space="0" w:color="auto"/>
              <w:right w:val="single" w:sz="4" w:space="0" w:color="auto"/>
            </w:tcBorders>
            <w:shd w:val="clear" w:color="auto" w:fill="auto"/>
            <w:noWrap/>
            <w:vAlign w:val="bottom"/>
            <w:hideMark/>
          </w:tcPr>
          <w:p w14:paraId="1299F7FF"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$51,640</w:t>
            </w:r>
          </w:p>
        </w:tc>
        <w:tc>
          <w:tcPr>
            <w:tcW w:w="1417" w:type="dxa"/>
            <w:tcBorders>
              <w:top w:val="nil"/>
              <w:left w:val="nil"/>
              <w:bottom w:val="single" w:sz="4" w:space="0" w:color="auto"/>
              <w:right w:val="single" w:sz="4" w:space="0" w:color="auto"/>
            </w:tcBorders>
            <w:shd w:val="clear" w:color="auto" w:fill="auto"/>
            <w:noWrap/>
            <w:vAlign w:val="bottom"/>
            <w:hideMark/>
          </w:tcPr>
          <w:p w14:paraId="37CBAC4E"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$64,550</w:t>
            </w:r>
          </w:p>
        </w:tc>
        <w:tc>
          <w:tcPr>
            <w:tcW w:w="1560" w:type="dxa"/>
            <w:tcBorders>
              <w:top w:val="nil"/>
              <w:left w:val="nil"/>
              <w:bottom w:val="single" w:sz="4" w:space="0" w:color="auto"/>
              <w:right w:val="single" w:sz="4" w:space="0" w:color="auto"/>
            </w:tcBorders>
            <w:shd w:val="clear" w:color="auto" w:fill="auto"/>
            <w:noWrap/>
            <w:vAlign w:val="bottom"/>
            <w:hideMark/>
          </w:tcPr>
          <w:p w14:paraId="1B9E0ECB"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$77,460</w:t>
            </w:r>
          </w:p>
        </w:tc>
      </w:tr>
      <w:tr w:rsidR="005769AC" w:rsidRPr="004E629D" w14:paraId="65594041" w14:textId="77777777" w:rsidTr="00CD1B2A">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35AB30A2"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4</w:t>
            </w:r>
          </w:p>
        </w:tc>
        <w:tc>
          <w:tcPr>
            <w:tcW w:w="1844" w:type="dxa"/>
            <w:tcBorders>
              <w:top w:val="nil"/>
              <w:left w:val="nil"/>
              <w:bottom w:val="single" w:sz="4" w:space="0" w:color="auto"/>
              <w:right w:val="single" w:sz="4" w:space="0" w:color="auto"/>
            </w:tcBorders>
            <w:shd w:val="clear" w:color="auto" w:fill="auto"/>
            <w:noWrap/>
            <w:vAlign w:val="bottom"/>
            <w:hideMark/>
          </w:tcPr>
          <w:p w14:paraId="037589CD"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$31,200</w:t>
            </w:r>
          </w:p>
        </w:tc>
        <w:tc>
          <w:tcPr>
            <w:tcW w:w="1418" w:type="dxa"/>
            <w:tcBorders>
              <w:top w:val="nil"/>
              <w:left w:val="nil"/>
              <w:bottom w:val="single" w:sz="4" w:space="0" w:color="auto"/>
              <w:right w:val="single" w:sz="4" w:space="0" w:color="auto"/>
            </w:tcBorders>
            <w:shd w:val="clear" w:color="auto" w:fill="auto"/>
            <w:noWrap/>
            <w:vAlign w:val="bottom"/>
            <w:hideMark/>
          </w:tcPr>
          <w:p w14:paraId="4F3433DF"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$62,400</w:t>
            </w:r>
          </w:p>
        </w:tc>
        <w:tc>
          <w:tcPr>
            <w:tcW w:w="1417" w:type="dxa"/>
            <w:tcBorders>
              <w:top w:val="nil"/>
              <w:left w:val="nil"/>
              <w:bottom w:val="single" w:sz="4" w:space="0" w:color="auto"/>
              <w:right w:val="single" w:sz="4" w:space="0" w:color="auto"/>
            </w:tcBorders>
            <w:shd w:val="clear" w:color="auto" w:fill="auto"/>
            <w:noWrap/>
            <w:vAlign w:val="bottom"/>
            <w:hideMark/>
          </w:tcPr>
          <w:p w14:paraId="20B6C6E8"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$78,000</w:t>
            </w:r>
          </w:p>
        </w:tc>
        <w:tc>
          <w:tcPr>
            <w:tcW w:w="1560" w:type="dxa"/>
            <w:tcBorders>
              <w:top w:val="nil"/>
              <w:left w:val="nil"/>
              <w:bottom w:val="single" w:sz="4" w:space="0" w:color="auto"/>
              <w:right w:val="single" w:sz="4" w:space="0" w:color="auto"/>
            </w:tcBorders>
            <w:shd w:val="clear" w:color="auto" w:fill="auto"/>
            <w:noWrap/>
            <w:vAlign w:val="bottom"/>
            <w:hideMark/>
          </w:tcPr>
          <w:p w14:paraId="1EF98468"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$93,600</w:t>
            </w:r>
          </w:p>
        </w:tc>
      </w:tr>
      <w:tr w:rsidR="005769AC" w:rsidRPr="004E629D" w14:paraId="39D7A9DF" w14:textId="77777777" w:rsidTr="00CD1B2A">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C02D97A"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5</w:t>
            </w:r>
          </w:p>
        </w:tc>
        <w:tc>
          <w:tcPr>
            <w:tcW w:w="1844" w:type="dxa"/>
            <w:tcBorders>
              <w:top w:val="nil"/>
              <w:left w:val="nil"/>
              <w:bottom w:val="single" w:sz="4" w:space="0" w:color="auto"/>
              <w:right w:val="single" w:sz="4" w:space="0" w:color="auto"/>
            </w:tcBorders>
            <w:shd w:val="clear" w:color="auto" w:fill="auto"/>
            <w:noWrap/>
            <w:vAlign w:val="bottom"/>
            <w:hideMark/>
          </w:tcPr>
          <w:p w14:paraId="045DEB53"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$36,580</w:t>
            </w:r>
          </w:p>
        </w:tc>
        <w:tc>
          <w:tcPr>
            <w:tcW w:w="1418" w:type="dxa"/>
            <w:tcBorders>
              <w:top w:val="nil"/>
              <w:left w:val="nil"/>
              <w:bottom w:val="single" w:sz="4" w:space="0" w:color="auto"/>
              <w:right w:val="single" w:sz="4" w:space="0" w:color="auto"/>
            </w:tcBorders>
            <w:shd w:val="clear" w:color="auto" w:fill="auto"/>
            <w:noWrap/>
            <w:vAlign w:val="bottom"/>
            <w:hideMark/>
          </w:tcPr>
          <w:p w14:paraId="22198601"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$73,160</w:t>
            </w:r>
          </w:p>
        </w:tc>
        <w:tc>
          <w:tcPr>
            <w:tcW w:w="1417" w:type="dxa"/>
            <w:tcBorders>
              <w:top w:val="nil"/>
              <w:left w:val="nil"/>
              <w:bottom w:val="single" w:sz="4" w:space="0" w:color="auto"/>
              <w:right w:val="single" w:sz="4" w:space="0" w:color="auto"/>
            </w:tcBorders>
            <w:shd w:val="clear" w:color="auto" w:fill="auto"/>
            <w:noWrap/>
            <w:vAlign w:val="bottom"/>
            <w:hideMark/>
          </w:tcPr>
          <w:p w14:paraId="48368657"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$91,450</w:t>
            </w:r>
          </w:p>
        </w:tc>
        <w:tc>
          <w:tcPr>
            <w:tcW w:w="1560" w:type="dxa"/>
            <w:tcBorders>
              <w:top w:val="nil"/>
              <w:left w:val="nil"/>
              <w:bottom w:val="single" w:sz="4" w:space="0" w:color="auto"/>
              <w:right w:val="single" w:sz="4" w:space="0" w:color="auto"/>
            </w:tcBorders>
            <w:shd w:val="clear" w:color="auto" w:fill="auto"/>
            <w:noWrap/>
            <w:vAlign w:val="bottom"/>
            <w:hideMark/>
          </w:tcPr>
          <w:p w14:paraId="6ECC975C"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$109,740</w:t>
            </w:r>
          </w:p>
        </w:tc>
      </w:tr>
      <w:tr w:rsidR="005769AC" w:rsidRPr="004E629D" w14:paraId="7EDCA954" w14:textId="77777777" w:rsidTr="00CD1B2A">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19C96D2"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6</w:t>
            </w:r>
          </w:p>
        </w:tc>
        <w:tc>
          <w:tcPr>
            <w:tcW w:w="1844" w:type="dxa"/>
            <w:tcBorders>
              <w:top w:val="nil"/>
              <w:left w:val="nil"/>
              <w:bottom w:val="single" w:sz="4" w:space="0" w:color="auto"/>
              <w:right w:val="single" w:sz="4" w:space="0" w:color="auto"/>
            </w:tcBorders>
            <w:shd w:val="clear" w:color="auto" w:fill="auto"/>
            <w:noWrap/>
            <w:vAlign w:val="bottom"/>
            <w:hideMark/>
          </w:tcPr>
          <w:p w14:paraId="0F52C2B8"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$41,960</w:t>
            </w:r>
          </w:p>
        </w:tc>
        <w:tc>
          <w:tcPr>
            <w:tcW w:w="1418" w:type="dxa"/>
            <w:tcBorders>
              <w:top w:val="nil"/>
              <w:left w:val="nil"/>
              <w:bottom w:val="single" w:sz="4" w:space="0" w:color="auto"/>
              <w:right w:val="single" w:sz="4" w:space="0" w:color="auto"/>
            </w:tcBorders>
            <w:shd w:val="clear" w:color="auto" w:fill="auto"/>
            <w:noWrap/>
            <w:vAlign w:val="bottom"/>
            <w:hideMark/>
          </w:tcPr>
          <w:p w14:paraId="7504CACE"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$83,920</w:t>
            </w:r>
          </w:p>
        </w:tc>
        <w:tc>
          <w:tcPr>
            <w:tcW w:w="1417" w:type="dxa"/>
            <w:tcBorders>
              <w:top w:val="nil"/>
              <w:left w:val="nil"/>
              <w:bottom w:val="single" w:sz="4" w:space="0" w:color="auto"/>
              <w:right w:val="single" w:sz="4" w:space="0" w:color="auto"/>
            </w:tcBorders>
            <w:shd w:val="clear" w:color="auto" w:fill="auto"/>
            <w:noWrap/>
            <w:vAlign w:val="bottom"/>
            <w:hideMark/>
          </w:tcPr>
          <w:p w14:paraId="53E5495B"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$104,900</w:t>
            </w:r>
          </w:p>
        </w:tc>
        <w:tc>
          <w:tcPr>
            <w:tcW w:w="1560" w:type="dxa"/>
            <w:tcBorders>
              <w:top w:val="nil"/>
              <w:left w:val="nil"/>
              <w:bottom w:val="single" w:sz="4" w:space="0" w:color="auto"/>
              <w:right w:val="single" w:sz="4" w:space="0" w:color="auto"/>
            </w:tcBorders>
            <w:shd w:val="clear" w:color="auto" w:fill="auto"/>
            <w:noWrap/>
            <w:vAlign w:val="bottom"/>
            <w:hideMark/>
          </w:tcPr>
          <w:p w14:paraId="1E3C001A"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$125,880</w:t>
            </w:r>
          </w:p>
        </w:tc>
      </w:tr>
      <w:tr w:rsidR="005769AC" w:rsidRPr="004E629D" w14:paraId="22E740B1" w14:textId="77777777" w:rsidTr="00CD1B2A">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258EB15"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7</w:t>
            </w:r>
          </w:p>
        </w:tc>
        <w:tc>
          <w:tcPr>
            <w:tcW w:w="1844" w:type="dxa"/>
            <w:tcBorders>
              <w:top w:val="nil"/>
              <w:left w:val="nil"/>
              <w:bottom w:val="single" w:sz="4" w:space="0" w:color="auto"/>
              <w:right w:val="single" w:sz="4" w:space="0" w:color="auto"/>
            </w:tcBorders>
            <w:shd w:val="clear" w:color="auto" w:fill="auto"/>
            <w:noWrap/>
            <w:vAlign w:val="bottom"/>
            <w:hideMark/>
          </w:tcPr>
          <w:p w14:paraId="583F704D"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$47,340</w:t>
            </w:r>
          </w:p>
        </w:tc>
        <w:tc>
          <w:tcPr>
            <w:tcW w:w="1418" w:type="dxa"/>
            <w:tcBorders>
              <w:top w:val="nil"/>
              <w:left w:val="nil"/>
              <w:bottom w:val="single" w:sz="4" w:space="0" w:color="auto"/>
              <w:right w:val="single" w:sz="4" w:space="0" w:color="auto"/>
            </w:tcBorders>
            <w:shd w:val="clear" w:color="auto" w:fill="auto"/>
            <w:noWrap/>
            <w:vAlign w:val="bottom"/>
            <w:hideMark/>
          </w:tcPr>
          <w:p w14:paraId="14C41490"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$94,680</w:t>
            </w:r>
          </w:p>
        </w:tc>
        <w:tc>
          <w:tcPr>
            <w:tcW w:w="1417" w:type="dxa"/>
            <w:tcBorders>
              <w:top w:val="nil"/>
              <w:left w:val="nil"/>
              <w:bottom w:val="single" w:sz="4" w:space="0" w:color="auto"/>
              <w:right w:val="single" w:sz="4" w:space="0" w:color="auto"/>
            </w:tcBorders>
            <w:shd w:val="clear" w:color="auto" w:fill="auto"/>
            <w:noWrap/>
            <w:vAlign w:val="bottom"/>
            <w:hideMark/>
          </w:tcPr>
          <w:p w14:paraId="4155A2F1"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$118,350</w:t>
            </w:r>
          </w:p>
        </w:tc>
        <w:tc>
          <w:tcPr>
            <w:tcW w:w="1560" w:type="dxa"/>
            <w:tcBorders>
              <w:top w:val="nil"/>
              <w:left w:val="nil"/>
              <w:bottom w:val="single" w:sz="4" w:space="0" w:color="auto"/>
              <w:right w:val="single" w:sz="4" w:space="0" w:color="auto"/>
            </w:tcBorders>
            <w:shd w:val="clear" w:color="auto" w:fill="auto"/>
            <w:noWrap/>
            <w:vAlign w:val="bottom"/>
            <w:hideMark/>
          </w:tcPr>
          <w:p w14:paraId="0D58CE19"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$142,020</w:t>
            </w:r>
          </w:p>
        </w:tc>
      </w:tr>
      <w:tr w:rsidR="005769AC" w:rsidRPr="004E629D" w14:paraId="2A257DFE" w14:textId="77777777" w:rsidTr="00CD1B2A">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CA99534"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8</w:t>
            </w:r>
          </w:p>
        </w:tc>
        <w:tc>
          <w:tcPr>
            <w:tcW w:w="1844" w:type="dxa"/>
            <w:tcBorders>
              <w:top w:val="nil"/>
              <w:left w:val="nil"/>
              <w:bottom w:val="single" w:sz="4" w:space="0" w:color="auto"/>
              <w:right w:val="single" w:sz="4" w:space="0" w:color="auto"/>
            </w:tcBorders>
            <w:shd w:val="clear" w:color="auto" w:fill="auto"/>
            <w:noWrap/>
            <w:vAlign w:val="bottom"/>
            <w:hideMark/>
          </w:tcPr>
          <w:p w14:paraId="30CDA9A2"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$52,720</w:t>
            </w:r>
          </w:p>
        </w:tc>
        <w:tc>
          <w:tcPr>
            <w:tcW w:w="1418" w:type="dxa"/>
            <w:tcBorders>
              <w:top w:val="nil"/>
              <w:left w:val="nil"/>
              <w:bottom w:val="single" w:sz="4" w:space="0" w:color="auto"/>
              <w:right w:val="single" w:sz="4" w:space="0" w:color="auto"/>
            </w:tcBorders>
            <w:shd w:val="clear" w:color="auto" w:fill="auto"/>
            <w:noWrap/>
            <w:vAlign w:val="bottom"/>
            <w:hideMark/>
          </w:tcPr>
          <w:p w14:paraId="5CF1791A"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$105,440</w:t>
            </w:r>
          </w:p>
        </w:tc>
        <w:tc>
          <w:tcPr>
            <w:tcW w:w="1417" w:type="dxa"/>
            <w:tcBorders>
              <w:top w:val="nil"/>
              <w:left w:val="nil"/>
              <w:bottom w:val="single" w:sz="4" w:space="0" w:color="auto"/>
              <w:right w:val="single" w:sz="4" w:space="0" w:color="auto"/>
            </w:tcBorders>
            <w:shd w:val="clear" w:color="auto" w:fill="auto"/>
            <w:noWrap/>
            <w:vAlign w:val="bottom"/>
            <w:hideMark/>
          </w:tcPr>
          <w:p w14:paraId="36BFBEB3"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$131,800</w:t>
            </w:r>
          </w:p>
        </w:tc>
        <w:tc>
          <w:tcPr>
            <w:tcW w:w="1560" w:type="dxa"/>
            <w:tcBorders>
              <w:top w:val="nil"/>
              <w:left w:val="nil"/>
              <w:bottom w:val="single" w:sz="4" w:space="0" w:color="auto"/>
              <w:right w:val="single" w:sz="4" w:space="0" w:color="auto"/>
            </w:tcBorders>
            <w:shd w:val="clear" w:color="auto" w:fill="auto"/>
            <w:noWrap/>
            <w:vAlign w:val="bottom"/>
            <w:hideMark/>
          </w:tcPr>
          <w:p w14:paraId="7503B436"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$158,160</w:t>
            </w:r>
          </w:p>
        </w:tc>
      </w:tr>
      <w:tr w:rsidR="005769AC" w:rsidRPr="004E629D" w14:paraId="622324B6" w14:textId="77777777" w:rsidTr="00CD1B2A">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B5F5535"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9</w:t>
            </w:r>
          </w:p>
        </w:tc>
        <w:tc>
          <w:tcPr>
            <w:tcW w:w="1844" w:type="dxa"/>
            <w:tcBorders>
              <w:top w:val="nil"/>
              <w:left w:val="nil"/>
              <w:bottom w:val="single" w:sz="4" w:space="0" w:color="auto"/>
              <w:right w:val="single" w:sz="4" w:space="0" w:color="auto"/>
            </w:tcBorders>
            <w:shd w:val="clear" w:color="auto" w:fill="auto"/>
            <w:noWrap/>
            <w:vAlign w:val="bottom"/>
            <w:hideMark/>
          </w:tcPr>
          <w:p w14:paraId="1354CD97"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$58,100</w:t>
            </w:r>
          </w:p>
        </w:tc>
        <w:tc>
          <w:tcPr>
            <w:tcW w:w="1418" w:type="dxa"/>
            <w:tcBorders>
              <w:top w:val="nil"/>
              <w:left w:val="nil"/>
              <w:bottom w:val="single" w:sz="4" w:space="0" w:color="auto"/>
              <w:right w:val="single" w:sz="4" w:space="0" w:color="auto"/>
            </w:tcBorders>
            <w:shd w:val="clear" w:color="auto" w:fill="auto"/>
            <w:noWrap/>
            <w:vAlign w:val="bottom"/>
            <w:hideMark/>
          </w:tcPr>
          <w:p w14:paraId="375FCCBC"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$116,200</w:t>
            </w:r>
          </w:p>
        </w:tc>
        <w:tc>
          <w:tcPr>
            <w:tcW w:w="1417" w:type="dxa"/>
            <w:tcBorders>
              <w:top w:val="nil"/>
              <w:left w:val="nil"/>
              <w:bottom w:val="single" w:sz="4" w:space="0" w:color="auto"/>
              <w:right w:val="single" w:sz="4" w:space="0" w:color="auto"/>
            </w:tcBorders>
            <w:shd w:val="clear" w:color="auto" w:fill="auto"/>
            <w:noWrap/>
            <w:vAlign w:val="bottom"/>
            <w:hideMark/>
          </w:tcPr>
          <w:p w14:paraId="713E0895"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$145,250</w:t>
            </w:r>
          </w:p>
        </w:tc>
        <w:tc>
          <w:tcPr>
            <w:tcW w:w="1560" w:type="dxa"/>
            <w:tcBorders>
              <w:top w:val="nil"/>
              <w:left w:val="nil"/>
              <w:bottom w:val="single" w:sz="4" w:space="0" w:color="auto"/>
              <w:right w:val="single" w:sz="4" w:space="0" w:color="auto"/>
            </w:tcBorders>
            <w:shd w:val="clear" w:color="auto" w:fill="auto"/>
            <w:noWrap/>
            <w:vAlign w:val="bottom"/>
            <w:hideMark/>
          </w:tcPr>
          <w:p w14:paraId="73DC367C"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$174,300</w:t>
            </w:r>
          </w:p>
        </w:tc>
      </w:tr>
      <w:tr w:rsidR="005769AC" w:rsidRPr="004E629D" w14:paraId="7DD96E40" w14:textId="77777777" w:rsidTr="00CD1B2A">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79444915"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10</w:t>
            </w:r>
          </w:p>
        </w:tc>
        <w:tc>
          <w:tcPr>
            <w:tcW w:w="1844" w:type="dxa"/>
            <w:tcBorders>
              <w:top w:val="nil"/>
              <w:left w:val="nil"/>
              <w:bottom w:val="single" w:sz="4" w:space="0" w:color="auto"/>
              <w:right w:val="single" w:sz="4" w:space="0" w:color="auto"/>
            </w:tcBorders>
            <w:shd w:val="clear" w:color="auto" w:fill="auto"/>
            <w:noWrap/>
            <w:vAlign w:val="bottom"/>
            <w:hideMark/>
          </w:tcPr>
          <w:p w14:paraId="4BB4AB35"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$63,480</w:t>
            </w:r>
          </w:p>
        </w:tc>
        <w:tc>
          <w:tcPr>
            <w:tcW w:w="1418" w:type="dxa"/>
            <w:tcBorders>
              <w:top w:val="nil"/>
              <w:left w:val="nil"/>
              <w:bottom w:val="single" w:sz="4" w:space="0" w:color="auto"/>
              <w:right w:val="single" w:sz="4" w:space="0" w:color="auto"/>
            </w:tcBorders>
            <w:shd w:val="clear" w:color="auto" w:fill="auto"/>
            <w:noWrap/>
            <w:vAlign w:val="bottom"/>
            <w:hideMark/>
          </w:tcPr>
          <w:p w14:paraId="6D18DE67"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$126,960</w:t>
            </w:r>
          </w:p>
        </w:tc>
        <w:tc>
          <w:tcPr>
            <w:tcW w:w="1417" w:type="dxa"/>
            <w:tcBorders>
              <w:top w:val="nil"/>
              <w:left w:val="nil"/>
              <w:bottom w:val="single" w:sz="4" w:space="0" w:color="auto"/>
              <w:right w:val="single" w:sz="4" w:space="0" w:color="auto"/>
            </w:tcBorders>
            <w:shd w:val="clear" w:color="auto" w:fill="auto"/>
            <w:noWrap/>
            <w:vAlign w:val="bottom"/>
            <w:hideMark/>
          </w:tcPr>
          <w:p w14:paraId="6E190090"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$158,700</w:t>
            </w:r>
          </w:p>
        </w:tc>
        <w:tc>
          <w:tcPr>
            <w:tcW w:w="1560" w:type="dxa"/>
            <w:tcBorders>
              <w:top w:val="nil"/>
              <w:left w:val="nil"/>
              <w:bottom w:val="single" w:sz="4" w:space="0" w:color="auto"/>
              <w:right w:val="single" w:sz="4" w:space="0" w:color="auto"/>
            </w:tcBorders>
            <w:shd w:val="clear" w:color="auto" w:fill="auto"/>
            <w:noWrap/>
            <w:vAlign w:val="bottom"/>
            <w:hideMark/>
          </w:tcPr>
          <w:p w14:paraId="50378AEC"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$190,440</w:t>
            </w:r>
          </w:p>
        </w:tc>
      </w:tr>
      <w:tr w:rsidR="005769AC" w:rsidRPr="004E629D" w14:paraId="7BD410F7" w14:textId="77777777" w:rsidTr="00CD1B2A">
        <w:trPr>
          <w:trHeight w:val="30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9678A62"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11</w:t>
            </w:r>
          </w:p>
        </w:tc>
        <w:tc>
          <w:tcPr>
            <w:tcW w:w="1844" w:type="dxa"/>
            <w:tcBorders>
              <w:top w:val="nil"/>
              <w:left w:val="nil"/>
              <w:bottom w:val="single" w:sz="4" w:space="0" w:color="auto"/>
              <w:right w:val="single" w:sz="4" w:space="0" w:color="auto"/>
            </w:tcBorders>
            <w:shd w:val="clear" w:color="auto" w:fill="auto"/>
            <w:noWrap/>
            <w:vAlign w:val="bottom"/>
            <w:hideMark/>
          </w:tcPr>
          <w:p w14:paraId="34349244"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$68,860</w:t>
            </w:r>
          </w:p>
        </w:tc>
        <w:tc>
          <w:tcPr>
            <w:tcW w:w="1418" w:type="dxa"/>
            <w:tcBorders>
              <w:top w:val="nil"/>
              <w:left w:val="nil"/>
              <w:bottom w:val="single" w:sz="4" w:space="0" w:color="auto"/>
              <w:right w:val="single" w:sz="4" w:space="0" w:color="auto"/>
            </w:tcBorders>
            <w:shd w:val="clear" w:color="auto" w:fill="auto"/>
            <w:noWrap/>
            <w:vAlign w:val="bottom"/>
            <w:hideMark/>
          </w:tcPr>
          <w:p w14:paraId="5FDC0B2D"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$137,720</w:t>
            </w:r>
          </w:p>
        </w:tc>
        <w:tc>
          <w:tcPr>
            <w:tcW w:w="1417" w:type="dxa"/>
            <w:tcBorders>
              <w:top w:val="nil"/>
              <w:left w:val="nil"/>
              <w:bottom w:val="single" w:sz="4" w:space="0" w:color="auto"/>
              <w:right w:val="single" w:sz="4" w:space="0" w:color="auto"/>
            </w:tcBorders>
            <w:shd w:val="clear" w:color="auto" w:fill="auto"/>
            <w:noWrap/>
            <w:vAlign w:val="bottom"/>
            <w:hideMark/>
          </w:tcPr>
          <w:p w14:paraId="17A59A56"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$172,150</w:t>
            </w:r>
          </w:p>
        </w:tc>
        <w:tc>
          <w:tcPr>
            <w:tcW w:w="1560" w:type="dxa"/>
            <w:tcBorders>
              <w:top w:val="nil"/>
              <w:left w:val="nil"/>
              <w:bottom w:val="single" w:sz="4" w:space="0" w:color="auto"/>
              <w:right w:val="single" w:sz="4" w:space="0" w:color="auto"/>
            </w:tcBorders>
            <w:shd w:val="clear" w:color="auto" w:fill="auto"/>
            <w:noWrap/>
            <w:vAlign w:val="bottom"/>
            <w:hideMark/>
          </w:tcPr>
          <w:p w14:paraId="471E98AD"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$206,580</w:t>
            </w:r>
          </w:p>
        </w:tc>
      </w:tr>
      <w:tr w:rsidR="005769AC" w:rsidRPr="004E629D" w14:paraId="70EEBBDB" w14:textId="77777777" w:rsidTr="00CD1B2A">
        <w:trPr>
          <w:trHeight w:val="7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19BD80F"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12</w:t>
            </w:r>
          </w:p>
        </w:tc>
        <w:tc>
          <w:tcPr>
            <w:tcW w:w="1844" w:type="dxa"/>
            <w:tcBorders>
              <w:top w:val="nil"/>
              <w:left w:val="nil"/>
              <w:bottom w:val="single" w:sz="4" w:space="0" w:color="auto"/>
              <w:right w:val="single" w:sz="4" w:space="0" w:color="auto"/>
            </w:tcBorders>
            <w:shd w:val="clear" w:color="auto" w:fill="auto"/>
            <w:noWrap/>
            <w:vAlign w:val="bottom"/>
            <w:hideMark/>
          </w:tcPr>
          <w:p w14:paraId="22BC6289"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$74,240</w:t>
            </w:r>
          </w:p>
        </w:tc>
        <w:tc>
          <w:tcPr>
            <w:tcW w:w="1418" w:type="dxa"/>
            <w:tcBorders>
              <w:top w:val="nil"/>
              <w:left w:val="nil"/>
              <w:bottom w:val="single" w:sz="4" w:space="0" w:color="auto"/>
              <w:right w:val="single" w:sz="4" w:space="0" w:color="auto"/>
            </w:tcBorders>
            <w:shd w:val="clear" w:color="auto" w:fill="auto"/>
            <w:noWrap/>
            <w:vAlign w:val="bottom"/>
            <w:hideMark/>
          </w:tcPr>
          <w:p w14:paraId="301CE641"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$148,480</w:t>
            </w:r>
          </w:p>
        </w:tc>
        <w:tc>
          <w:tcPr>
            <w:tcW w:w="1417" w:type="dxa"/>
            <w:tcBorders>
              <w:top w:val="nil"/>
              <w:left w:val="nil"/>
              <w:bottom w:val="single" w:sz="4" w:space="0" w:color="auto"/>
              <w:right w:val="single" w:sz="4" w:space="0" w:color="auto"/>
            </w:tcBorders>
            <w:shd w:val="clear" w:color="auto" w:fill="auto"/>
            <w:noWrap/>
            <w:vAlign w:val="bottom"/>
            <w:hideMark/>
          </w:tcPr>
          <w:p w14:paraId="5FBA2633"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$185,600</w:t>
            </w:r>
          </w:p>
        </w:tc>
        <w:tc>
          <w:tcPr>
            <w:tcW w:w="1560" w:type="dxa"/>
            <w:tcBorders>
              <w:top w:val="nil"/>
              <w:left w:val="nil"/>
              <w:bottom w:val="single" w:sz="4" w:space="0" w:color="auto"/>
              <w:right w:val="single" w:sz="4" w:space="0" w:color="auto"/>
            </w:tcBorders>
            <w:shd w:val="clear" w:color="auto" w:fill="auto"/>
            <w:noWrap/>
            <w:vAlign w:val="bottom"/>
            <w:hideMark/>
          </w:tcPr>
          <w:p w14:paraId="03586386" w14:textId="77777777" w:rsidR="005769AC" w:rsidRPr="004E629D" w:rsidRDefault="005769AC" w:rsidP="00CD1B2A">
            <w:pPr>
              <w:jc w:val="right"/>
              <w:rPr>
                <w:rFonts w:ascii="Aptos" w:hAnsi="Aptos"/>
                <w:b/>
                <w:bCs/>
                <w:color w:val="000000"/>
                <w:lang w:val="es-ES_tradnl"/>
              </w:rPr>
            </w:pPr>
            <w:r w:rsidRPr="004E629D">
              <w:rPr>
                <w:rFonts w:ascii="Aptos" w:hAnsi="Aptos"/>
                <w:b/>
                <w:color w:val="000000"/>
                <w:lang w:val="es-ES_tradnl"/>
              </w:rPr>
              <w:t>$222,720</w:t>
            </w:r>
          </w:p>
        </w:tc>
      </w:tr>
    </w:tbl>
    <w:p w14:paraId="06C2C277" w14:textId="77777777" w:rsidR="00AF2321" w:rsidRPr="004E629D" w:rsidRDefault="00AF2321" w:rsidP="00AF2321">
      <w:pPr>
        <w:pStyle w:val="BodyText"/>
        <w:spacing w:before="165" w:line="295" w:lineRule="auto"/>
        <w:ind w:right="175"/>
        <w:rPr>
          <w:rFonts w:ascii="Aptos" w:hAnsi="Aptos"/>
          <w:sz w:val="24"/>
          <w:szCs w:val="24"/>
          <w:lang w:val="es-ES_tradnl"/>
        </w:rPr>
      </w:pPr>
    </w:p>
    <w:p w14:paraId="55D7DA96" w14:textId="77777777" w:rsidR="000B30ED" w:rsidRPr="000B30ED" w:rsidRDefault="000B30ED" w:rsidP="000B30ED">
      <w:pPr>
        <w:tabs>
          <w:tab w:val="left" w:pos="1256"/>
          <w:tab w:val="left" w:pos="1258"/>
        </w:tabs>
        <w:spacing w:before="119" w:line="268" w:lineRule="auto"/>
        <w:ind w:right="482"/>
        <w:rPr>
          <w:lang w:val="es-ES_tradnl"/>
        </w:rPr>
      </w:pPr>
    </w:p>
    <w:p w14:paraId="7EA29DBF" w14:textId="77777777" w:rsidR="00393065" w:rsidRPr="00F44562" w:rsidRDefault="00393065" w:rsidP="00393065">
      <w:pPr>
        <w:pStyle w:val="BodyText"/>
        <w:spacing w:before="119"/>
        <w:rPr>
          <w:b/>
          <w:bCs/>
          <w:sz w:val="22"/>
          <w:szCs w:val="22"/>
          <w:lang w:val="es-ES_tradnl"/>
        </w:rPr>
      </w:pPr>
    </w:p>
    <w:p w14:paraId="5D576CD0" w14:textId="77777777" w:rsidR="00DF2088" w:rsidRDefault="00DF2088" w:rsidP="00C56D48">
      <w:pPr>
        <w:pStyle w:val="Heading1"/>
        <w:rPr>
          <w:rFonts w:ascii="Aptos" w:hAnsi="Aptos"/>
          <w:lang w:val="es-ES_tradnl"/>
        </w:rPr>
      </w:pPr>
    </w:p>
    <w:sectPr w:rsidR="00DF2088" w:rsidSect="00E60A4A">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79E7E" w14:textId="77777777" w:rsidR="004659E1" w:rsidRDefault="004659E1" w:rsidP="006B2473">
      <w:r>
        <w:separator/>
      </w:r>
    </w:p>
  </w:endnote>
  <w:endnote w:type="continuationSeparator" w:id="0">
    <w:p w14:paraId="2E8FCF2C" w14:textId="77777777" w:rsidR="004659E1" w:rsidRDefault="004659E1" w:rsidP="006B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C1451" w14:textId="77777777" w:rsidR="006B2473" w:rsidRPr="006B2473" w:rsidRDefault="006B2473" w:rsidP="006B2473">
    <w:pPr>
      <w:tabs>
        <w:tab w:val="center" w:pos="4320"/>
        <w:tab w:val="right" w:pos="8640"/>
      </w:tabs>
      <w:jc w:val="center"/>
      <w:rPr>
        <w:rFonts w:ascii="Gill Sans MT" w:hAnsi="Gill Sans MT"/>
        <w:color w:val="000000"/>
        <w:sz w:val="18"/>
        <w:szCs w:val="17"/>
      </w:rPr>
    </w:pPr>
    <w:r w:rsidRPr="006B2473">
      <w:rPr>
        <w:rFonts w:ascii="Gill Sans MT" w:hAnsi="Gill Sans MT"/>
        <w:color w:val="000000"/>
        <w:sz w:val="18"/>
        <w:szCs w:val="17"/>
      </w:rPr>
      <w:t xml:space="preserve">566 Ruin Creek Road </w:t>
    </w:r>
    <w:r w:rsidRPr="006B2473">
      <w:rPr>
        <w:rFonts w:ascii="Gill Sans MT" w:hAnsi="Gill Sans MT"/>
        <w:color w:val="000000"/>
        <w:sz w:val="18"/>
        <w:szCs w:val="17"/>
      </w:rPr>
      <w:sym w:font="Wingdings" w:char="F09F"/>
    </w:r>
    <w:r w:rsidRPr="006B2473">
      <w:rPr>
        <w:rFonts w:ascii="Gill Sans MT" w:hAnsi="Gill Sans MT"/>
        <w:color w:val="000000"/>
        <w:sz w:val="18"/>
        <w:szCs w:val="17"/>
      </w:rPr>
      <w:t xml:space="preserve"> P.O. Box 59 </w:t>
    </w:r>
    <w:r w:rsidRPr="006B2473">
      <w:rPr>
        <w:rFonts w:ascii="Gill Sans MT" w:hAnsi="Gill Sans MT"/>
        <w:color w:val="000000"/>
        <w:sz w:val="18"/>
        <w:szCs w:val="17"/>
      </w:rPr>
      <w:sym w:font="Wingdings" w:char="F09F"/>
    </w:r>
    <w:r w:rsidRPr="006B2473">
      <w:rPr>
        <w:rFonts w:ascii="Gill Sans MT" w:hAnsi="Gill Sans MT"/>
        <w:color w:val="000000"/>
        <w:sz w:val="18"/>
        <w:szCs w:val="17"/>
      </w:rPr>
      <w:t xml:space="preserve"> Henderson, NC  27536</w:t>
    </w:r>
  </w:p>
  <w:p w14:paraId="67F4387F" w14:textId="77777777" w:rsidR="006B2473" w:rsidRPr="006B2473" w:rsidRDefault="006B2473" w:rsidP="006B2473">
    <w:pPr>
      <w:tabs>
        <w:tab w:val="center" w:pos="4320"/>
        <w:tab w:val="right" w:pos="8640"/>
      </w:tabs>
      <w:jc w:val="center"/>
    </w:pPr>
    <w:r w:rsidRPr="006B2473">
      <w:rPr>
        <w:rFonts w:ascii="Gill Sans MT" w:hAnsi="Gill Sans MT"/>
        <w:color w:val="000000"/>
        <w:sz w:val="18"/>
        <w:szCs w:val="17"/>
      </w:rPr>
      <w:t xml:space="preserve">(252) 438-4143 </w:t>
    </w:r>
    <w:r w:rsidRPr="006B2473">
      <w:rPr>
        <w:rFonts w:ascii="Gill Sans MT" w:hAnsi="Gill Sans MT"/>
        <w:color w:val="000000"/>
        <w:sz w:val="18"/>
        <w:szCs w:val="17"/>
      </w:rPr>
      <w:sym w:font="Wingdings" w:char="F09F"/>
    </w:r>
    <w:r w:rsidRPr="006B2473">
      <w:rPr>
        <w:rFonts w:ascii="Gill Sans MT" w:hAnsi="Gill Sans MT"/>
        <w:color w:val="000000"/>
        <w:sz w:val="18"/>
        <w:szCs w:val="17"/>
      </w:rPr>
      <w:t xml:space="preserve"> www.mariaparham.com</w:t>
    </w:r>
  </w:p>
  <w:p w14:paraId="1F284E82" w14:textId="77777777" w:rsidR="006B2473" w:rsidRDefault="006B2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4BD46" w14:textId="77777777" w:rsidR="004659E1" w:rsidRDefault="004659E1" w:rsidP="006B2473">
      <w:r>
        <w:separator/>
      </w:r>
    </w:p>
  </w:footnote>
  <w:footnote w:type="continuationSeparator" w:id="0">
    <w:p w14:paraId="42675872" w14:textId="77777777" w:rsidR="004659E1" w:rsidRDefault="004659E1" w:rsidP="006B2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7FF66" w14:textId="77777777" w:rsidR="006B2473" w:rsidRDefault="006B2473" w:rsidP="006B2473">
    <w:pPr>
      <w:pStyle w:val="Header"/>
      <w:jc w:val="center"/>
    </w:pPr>
    <w:r>
      <w:rPr>
        <w:noProof/>
      </w:rPr>
      <w:drawing>
        <wp:inline distT="0" distB="0" distL="0" distR="0" wp14:anchorId="67FD850A" wp14:editId="03E5BCE8">
          <wp:extent cx="1238250" cy="45700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Logo_MPMC-Health_jj.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2837" cy="5103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10246"/>
    <w:multiLevelType w:val="hybridMultilevel"/>
    <w:tmpl w:val="CC28BF2E"/>
    <w:lvl w:ilvl="0" w:tplc="CFFE0264">
      <w:numFmt w:val="bullet"/>
      <w:lvlText w:val="•"/>
      <w:lvlJc w:val="left"/>
      <w:pPr>
        <w:ind w:left="360" w:hanging="360"/>
      </w:pPr>
      <w:rPr>
        <w:rFonts w:ascii="Gill Sans MT" w:eastAsia="Gill Sans MT" w:hAnsi="Gill Sans MT" w:cs="Gill Sans MT" w:hint="default"/>
        <w:b w:val="0"/>
        <w:bCs w:val="0"/>
        <w:i w:val="0"/>
        <w:iCs w:val="0"/>
        <w:color w:val="182D4A"/>
        <w:spacing w:val="0"/>
        <w:w w:val="95"/>
        <w:sz w:val="21"/>
        <w:szCs w:val="21"/>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924700"/>
    <w:multiLevelType w:val="hybridMultilevel"/>
    <w:tmpl w:val="022A4440"/>
    <w:lvl w:ilvl="0" w:tplc="CFFE0264">
      <w:numFmt w:val="bullet"/>
      <w:lvlText w:val="•"/>
      <w:lvlJc w:val="left"/>
      <w:pPr>
        <w:ind w:left="1258" w:hanging="231"/>
      </w:pPr>
      <w:rPr>
        <w:rFonts w:ascii="Gill Sans MT" w:eastAsia="Gill Sans MT" w:hAnsi="Gill Sans MT" w:cs="Gill Sans MT" w:hint="default"/>
        <w:b w:val="0"/>
        <w:bCs w:val="0"/>
        <w:i w:val="0"/>
        <w:iCs w:val="0"/>
        <w:color w:val="182D4A"/>
        <w:spacing w:val="0"/>
        <w:w w:val="95"/>
        <w:sz w:val="21"/>
        <w:szCs w:val="21"/>
        <w:lang w:val="en-US" w:eastAsia="en-US" w:bidi="ar-SA"/>
      </w:rPr>
    </w:lvl>
    <w:lvl w:ilvl="1" w:tplc="35D220BE">
      <w:numFmt w:val="bullet"/>
      <w:lvlText w:val="•"/>
      <w:lvlJc w:val="left"/>
      <w:pPr>
        <w:ind w:left="2146" w:hanging="231"/>
      </w:pPr>
      <w:rPr>
        <w:rFonts w:hint="default"/>
        <w:lang w:val="en-US" w:eastAsia="en-US" w:bidi="ar-SA"/>
      </w:rPr>
    </w:lvl>
    <w:lvl w:ilvl="2" w:tplc="A5A088C0">
      <w:numFmt w:val="bullet"/>
      <w:lvlText w:val="•"/>
      <w:lvlJc w:val="left"/>
      <w:pPr>
        <w:ind w:left="3032" w:hanging="231"/>
      </w:pPr>
      <w:rPr>
        <w:rFonts w:hint="default"/>
        <w:lang w:val="en-US" w:eastAsia="en-US" w:bidi="ar-SA"/>
      </w:rPr>
    </w:lvl>
    <w:lvl w:ilvl="3" w:tplc="9D7E57B8">
      <w:numFmt w:val="bullet"/>
      <w:lvlText w:val="•"/>
      <w:lvlJc w:val="left"/>
      <w:pPr>
        <w:ind w:left="3918" w:hanging="231"/>
      </w:pPr>
      <w:rPr>
        <w:rFonts w:hint="default"/>
        <w:lang w:val="en-US" w:eastAsia="en-US" w:bidi="ar-SA"/>
      </w:rPr>
    </w:lvl>
    <w:lvl w:ilvl="4" w:tplc="7F9C06C0">
      <w:numFmt w:val="bullet"/>
      <w:lvlText w:val="•"/>
      <w:lvlJc w:val="left"/>
      <w:pPr>
        <w:ind w:left="4804" w:hanging="231"/>
      </w:pPr>
      <w:rPr>
        <w:rFonts w:hint="default"/>
        <w:lang w:val="en-US" w:eastAsia="en-US" w:bidi="ar-SA"/>
      </w:rPr>
    </w:lvl>
    <w:lvl w:ilvl="5" w:tplc="3D8CB516">
      <w:numFmt w:val="bullet"/>
      <w:lvlText w:val="•"/>
      <w:lvlJc w:val="left"/>
      <w:pPr>
        <w:ind w:left="5690" w:hanging="231"/>
      </w:pPr>
      <w:rPr>
        <w:rFonts w:hint="default"/>
        <w:lang w:val="en-US" w:eastAsia="en-US" w:bidi="ar-SA"/>
      </w:rPr>
    </w:lvl>
    <w:lvl w:ilvl="6" w:tplc="9F6EEA26">
      <w:numFmt w:val="bullet"/>
      <w:lvlText w:val="•"/>
      <w:lvlJc w:val="left"/>
      <w:pPr>
        <w:ind w:left="6576" w:hanging="231"/>
      </w:pPr>
      <w:rPr>
        <w:rFonts w:hint="default"/>
        <w:lang w:val="en-US" w:eastAsia="en-US" w:bidi="ar-SA"/>
      </w:rPr>
    </w:lvl>
    <w:lvl w:ilvl="7" w:tplc="3BA0EE72">
      <w:numFmt w:val="bullet"/>
      <w:lvlText w:val="•"/>
      <w:lvlJc w:val="left"/>
      <w:pPr>
        <w:ind w:left="7462" w:hanging="231"/>
      </w:pPr>
      <w:rPr>
        <w:rFonts w:hint="default"/>
        <w:lang w:val="en-US" w:eastAsia="en-US" w:bidi="ar-SA"/>
      </w:rPr>
    </w:lvl>
    <w:lvl w:ilvl="8" w:tplc="24D8BE80">
      <w:numFmt w:val="bullet"/>
      <w:lvlText w:val="•"/>
      <w:lvlJc w:val="left"/>
      <w:pPr>
        <w:ind w:left="8348" w:hanging="231"/>
      </w:pPr>
      <w:rPr>
        <w:rFonts w:hint="default"/>
        <w:lang w:val="en-US" w:eastAsia="en-US" w:bidi="ar-SA"/>
      </w:rPr>
    </w:lvl>
  </w:abstractNum>
  <w:abstractNum w:abstractNumId="2" w15:restartNumberingAfterBreak="0">
    <w:nsid w:val="477E6793"/>
    <w:multiLevelType w:val="hybridMultilevel"/>
    <w:tmpl w:val="632AD622"/>
    <w:lvl w:ilvl="0" w:tplc="5AE8DA80">
      <w:numFmt w:val="bullet"/>
      <w:lvlText w:val=""/>
      <w:lvlJc w:val="left"/>
      <w:pPr>
        <w:ind w:left="446" w:hanging="341"/>
      </w:pPr>
      <w:rPr>
        <w:rFonts w:ascii="Symbol" w:eastAsia="Symbol" w:hAnsi="Symbol" w:cs="Symbol" w:hint="default"/>
        <w:b w:val="0"/>
        <w:bCs w:val="0"/>
        <w:i w:val="0"/>
        <w:iCs w:val="0"/>
        <w:spacing w:val="0"/>
        <w:w w:val="100"/>
        <w:sz w:val="22"/>
        <w:szCs w:val="22"/>
        <w:lang w:val="en-US" w:eastAsia="en-US" w:bidi="ar-SA"/>
      </w:rPr>
    </w:lvl>
    <w:lvl w:ilvl="1" w:tplc="ED56ADF4">
      <w:numFmt w:val="bullet"/>
      <w:lvlText w:val="•"/>
      <w:lvlJc w:val="left"/>
      <w:pPr>
        <w:ind w:left="1354" w:hanging="341"/>
      </w:pPr>
      <w:rPr>
        <w:rFonts w:hint="default"/>
        <w:lang w:val="en-US" w:eastAsia="en-US" w:bidi="ar-SA"/>
      </w:rPr>
    </w:lvl>
    <w:lvl w:ilvl="2" w:tplc="E9365392">
      <w:numFmt w:val="bullet"/>
      <w:lvlText w:val="•"/>
      <w:lvlJc w:val="left"/>
      <w:pPr>
        <w:ind w:left="2268" w:hanging="341"/>
      </w:pPr>
      <w:rPr>
        <w:rFonts w:hint="default"/>
        <w:lang w:val="en-US" w:eastAsia="en-US" w:bidi="ar-SA"/>
      </w:rPr>
    </w:lvl>
    <w:lvl w:ilvl="3" w:tplc="71DA5A8E">
      <w:numFmt w:val="bullet"/>
      <w:lvlText w:val="•"/>
      <w:lvlJc w:val="left"/>
      <w:pPr>
        <w:ind w:left="3182" w:hanging="341"/>
      </w:pPr>
      <w:rPr>
        <w:rFonts w:hint="default"/>
        <w:lang w:val="en-US" w:eastAsia="en-US" w:bidi="ar-SA"/>
      </w:rPr>
    </w:lvl>
    <w:lvl w:ilvl="4" w:tplc="6E2CFAF0">
      <w:numFmt w:val="bullet"/>
      <w:lvlText w:val="•"/>
      <w:lvlJc w:val="left"/>
      <w:pPr>
        <w:ind w:left="4096" w:hanging="341"/>
      </w:pPr>
      <w:rPr>
        <w:rFonts w:hint="default"/>
        <w:lang w:val="en-US" w:eastAsia="en-US" w:bidi="ar-SA"/>
      </w:rPr>
    </w:lvl>
    <w:lvl w:ilvl="5" w:tplc="7B70F91C">
      <w:numFmt w:val="bullet"/>
      <w:lvlText w:val="•"/>
      <w:lvlJc w:val="left"/>
      <w:pPr>
        <w:ind w:left="5010" w:hanging="341"/>
      </w:pPr>
      <w:rPr>
        <w:rFonts w:hint="default"/>
        <w:lang w:val="en-US" w:eastAsia="en-US" w:bidi="ar-SA"/>
      </w:rPr>
    </w:lvl>
    <w:lvl w:ilvl="6" w:tplc="5A1AF2AA">
      <w:numFmt w:val="bullet"/>
      <w:lvlText w:val="•"/>
      <w:lvlJc w:val="left"/>
      <w:pPr>
        <w:ind w:left="5924" w:hanging="341"/>
      </w:pPr>
      <w:rPr>
        <w:rFonts w:hint="default"/>
        <w:lang w:val="en-US" w:eastAsia="en-US" w:bidi="ar-SA"/>
      </w:rPr>
    </w:lvl>
    <w:lvl w:ilvl="7" w:tplc="091E192C">
      <w:numFmt w:val="bullet"/>
      <w:lvlText w:val="•"/>
      <w:lvlJc w:val="left"/>
      <w:pPr>
        <w:ind w:left="6838" w:hanging="341"/>
      </w:pPr>
      <w:rPr>
        <w:rFonts w:hint="default"/>
        <w:lang w:val="en-US" w:eastAsia="en-US" w:bidi="ar-SA"/>
      </w:rPr>
    </w:lvl>
    <w:lvl w:ilvl="8" w:tplc="EDA8FAFE">
      <w:numFmt w:val="bullet"/>
      <w:lvlText w:val="•"/>
      <w:lvlJc w:val="left"/>
      <w:pPr>
        <w:ind w:left="7752" w:hanging="341"/>
      </w:pPr>
      <w:rPr>
        <w:rFonts w:hint="default"/>
        <w:lang w:val="en-US" w:eastAsia="en-US" w:bidi="ar-SA"/>
      </w:rPr>
    </w:lvl>
  </w:abstractNum>
  <w:abstractNum w:abstractNumId="3" w15:restartNumberingAfterBreak="0">
    <w:nsid w:val="4AA8655F"/>
    <w:multiLevelType w:val="hybridMultilevel"/>
    <w:tmpl w:val="92928468"/>
    <w:lvl w:ilvl="0" w:tplc="F886C9BE">
      <w:start w:val="1"/>
      <w:numFmt w:val="upperLetter"/>
      <w:lvlText w:val="%1."/>
      <w:lvlJc w:val="left"/>
      <w:pPr>
        <w:ind w:left="1258" w:hanging="352"/>
      </w:pPr>
      <w:rPr>
        <w:rFonts w:ascii="Gill Sans MT" w:eastAsia="Gill Sans MT" w:hAnsi="Gill Sans MT" w:cs="Gill Sans MT" w:hint="default"/>
        <w:b w:val="0"/>
        <w:bCs w:val="0"/>
        <w:i w:val="0"/>
        <w:iCs w:val="0"/>
        <w:color w:val="182D4A"/>
        <w:spacing w:val="-1"/>
        <w:w w:val="103"/>
        <w:sz w:val="21"/>
        <w:szCs w:val="21"/>
        <w:lang w:val="en-US" w:eastAsia="en-US" w:bidi="ar-SA"/>
      </w:rPr>
    </w:lvl>
    <w:lvl w:ilvl="1" w:tplc="FD6E0078">
      <w:numFmt w:val="bullet"/>
      <w:lvlText w:val="•"/>
      <w:lvlJc w:val="left"/>
      <w:pPr>
        <w:ind w:left="2146" w:hanging="352"/>
      </w:pPr>
      <w:rPr>
        <w:rFonts w:hint="default"/>
        <w:lang w:val="en-US" w:eastAsia="en-US" w:bidi="ar-SA"/>
      </w:rPr>
    </w:lvl>
    <w:lvl w:ilvl="2" w:tplc="36E2D4DE">
      <w:numFmt w:val="bullet"/>
      <w:lvlText w:val="•"/>
      <w:lvlJc w:val="left"/>
      <w:pPr>
        <w:ind w:left="3032" w:hanging="352"/>
      </w:pPr>
      <w:rPr>
        <w:rFonts w:hint="default"/>
        <w:lang w:val="en-US" w:eastAsia="en-US" w:bidi="ar-SA"/>
      </w:rPr>
    </w:lvl>
    <w:lvl w:ilvl="3" w:tplc="E056E17C">
      <w:numFmt w:val="bullet"/>
      <w:lvlText w:val="•"/>
      <w:lvlJc w:val="left"/>
      <w:pPr>
        <w:ind w:left="3918" w:hanging="352"/>
      </w:pPr>
      <w:rPr>
        <w:rFonts w:hint="default"/>
        <w:lang w:val="en-US" w:eastAsia="en-US" w:bidi="ar-SA"/>
      </w:rPr>
    </w:lvl>
    <w:lvl w:ilvl="4" w:tplc="DD80FE2A">
      <w:numFmt w:val="bullet"/>
      <w:lvlText w:val="•"/>
      <w:lvlJc w:val="left"/>
      <w:pPr>
        <w:ind w:left="4804" w:hanging="352"/>
      </w:pPr>
      <w:rPr>
        <w:rFonts w:hint="default"/>
        <w:lang w:val="en-US" w:eastAsia="en-US" w:bidi="ar-SA"/>
      </w:rPr>
    </w:lvl>
    <w:lvl w:ilvl="5" w:tplc="2B3E3E80">
      <w:numFmt w:val="bullet"/>
      <w:lvlText w:val="•"/>
      <w:lvlJc w:val="left"/>
      <w:pPr>
        <w:ind w:left="5690" w:hanging="352"/>
      </w:pPr>
      <w:rPr>
        <w:rFonts w:hint="default"/>
        <w:lang w:val="en-US" w:eastAsia="en-US" w:bidi="ar-SA"/>
      </w:rPr>
    </w:lvl>
    <w:lvl w:ilvl="6" w:tplc="3C90ED86">
      <w:numFmt w:val="bullet"/>
      <w:lvlText w:val="•"/>
      <w:lvlJc w:val="left"/>
      <w:pPr>
        <w:ind w:left="6576" w:hanging="352"/>
      </w:pPr>
      <w:rPr>
        <w:rFonts w:hint="default"/>
        <w:lang w:val="en-US" w:eastAsia="en-US" w:bidi="ar-SA"/>
      </w:rPr>
    </w:lvl>
    <w:lvl w:ilvl="7" w:tplc="CC36E982">
      <w:numFmt w:val="bullet"/>
      <w:lvlText w:val="•"/>
      <w:lvlJc w:val="left"/>
      <w:pPr>
        <w:ind w:left="7462" w:hanging="352"/>
      </w:pPr>
      <w:rPr>
        <w:rFonts w:hint="default"/>
        <w:lang w:val="en-US" w:eastAsia="en-US" w:bidi="ar-SA"/>
      </w:rPr>
    </w:lvl>
    <w:lvl w:ilvl="8" w:tplc="B4F82DF0">
      <w:numFmt w:val="bullet"/>
      <w:lvlText w:val="•"/>
      <w:lvlJc w:val="left"/>
      <w:pPr>
        <w:ind w:left="8348" w:hanging="352"/>
      </w:pPr>
      <w:rPr>
        <w:rFonts w:hint="default"/>
        <w:lang w:val="en-US" w:eastAsia="en-US" w:bidi="ar-SA"/>
      </w:rPr>
    </w:lvl>
  </w:abstractNum>
  <w:abstractNum w:abstractNumId="4" w15:restartNumberingAfterBreak="0">
    <w:nsid w:val="50702370"/>
    <w:multiLevelType w:val="hybridMultilevel"/>
    <w:tmpl w:val="8E7CAC76"/>
    <w:lvl w:ilvl="0" w:tplc="CFFE0264">
      <w:numFmt w:val="bullet"/>
      <w:lvlText w:val="•"/>
      <w:lvlJc w:val="left"/>
      <w:pPr>
        <w:ind w:left="1440" w:hanging="360"/>
      </w:pPr>
      <w:rPr>
        <w:rFonts w:ascii="Gill Sans MT" w:eastAsia="Gill Sans MT" w:hAnsi="Gill Sans MT" w:cs="Gill Sans MT" w:hint="default"/>
        <w:b w:val="0"/>
        <w:bCs w:val="0"/>
        <w:i w:val="0"/>
        <w:iCs w:val="0"/>
        <w:color w:val="182D4A"/>
        <w:spacing w:val="0"/>
        <w:w w:val="95"/>
        <w:sz w:val="21"/>
        <w:szCs w:val="21"/>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1534012"/>
    <w:multiLevelType w:val="hybridMultilevel"/>
    <w:tmpl w:val="5AC254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041200182">
    <w:abstractNumId w:val="5"/>
  </w:num>
  <w:num w:numId="2" w16cid:durableId="510337093">
    <w:abstractNumId w:val="2"/>
  </w:num>
  <w:num w:numId="3" w16cid:durableId="2040466354">
    <w:abstractNumId w:val="3"/>
  </w:num>
  <w:num w:numId="4" w16cid:durableId="778381248">
    <w:abstractNumId w:val="1"/>
  </w:num>
  <w:num w:numId="5" w16cid:durableId="1150709836">
    <w:abstractNumId w:val="4"/>
  </w:num>
  <w:num w:numId="6" w16cid:durableId="903377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473"/>
    <w:rsid w:val="00003239"/>
    <w:rsid w:val="0001495C"/>
    <w:rsid w:val="000271B0"/>
    <w:rsid w:val="00027C37"/>
    <w:rsid w:val="00061B32"/>
    <w:rsid w:val="00066333"/>
    <w:rsid w:val="00087006"/>
    <w:rsid w:val="000B30ED"/>
    <w:rsid w:val="000B3A65"/>
    <w:rsid w:val="00100C05"/>
    <w:rsid w:val="001012B1"/>
    <w:rsid w:val="00104300"/>
    <w:rsid w:val="00176D5B"/>
    <w:rsid w:val="00180C8A"/>
    <w:rsid w:val="001A0027"/>
    <w:rsid w:val="001A0758"/>
    <w:rsid w:val="001B2509"/>
    <w:rsid w:val="001D08F8"/>
    <w:rsid w:val="001D275C"/>
    <w:rsid w:val="001D6CB6"/>
    <w:rsid w:val="001E2B63"/>
    <w:rsid w:val="001F27AC"/>
    <w:rsid w:val="001F33F1"/>
    <w:rsid w:val="0021617F"/>
    <w:rsid w:val="00224492"/>
    <w:rsid w:val="0026025C"/>
    <w:rsid w:val="00263137"/>
    <w:rsid w:val="00285824"/>
    <w:rsid w:val="0028786F"/>
    <w:rsid w:val="002B2323"/>
    <w:rsid w:val="002B776F"/>
    <w:rsid w:val="002D2B80"/>
    <w:rsid w:val="00310AE6"/>
    <w:rsid w:val="0031583B"/>
    <w:rsid w:val="00357275"/>
    <w:rsid w:val="003732E2"/>
    <w:rsid w:val="0037720F"/>
    <w:rsid w:val="00393065"/>
    <w:rsid w:val="003B74C3"/>
    <w:rsid w:val="003B7D26"/>
    <w:rsid w:val="003C04B1"/>
    <w:rsid w:val="003E38B7"/>
    <w:rsid w:val="0041604A"/>
    <w:rsid w:val="00454ED5"/>
    <w:rsid w:val="00461811"/>
    <w:rsid w:val="004659E1"/>
    <w:rsid w:val="00477323"/>
    <w:rsid w:val="00485118"/>
    <w:rsid w:val="004A7C58"/>
    <w:rsid w:val="004D53C6"/>
    <w:rsid w:val="004D6A3A"/>
    <w:rsid w:val="004E629D"/>
    <w:rsid w:val="004E6C1F"/>
    <w:rsid w:val="004F1078"/>
    <w:rsid w:val="005102C8"/>
    <w:rsid w:val="0052794D"/>
    <w:rsid w:val="005409BF"/>
    <w:rsid w:val="005769AC"/>
    <w:rsid w:val="0057769A"/>
    <w:rsid w:val="005A7B55"/>
    <w:rsid w:val="005C2049"/>
    <w:rsid w:val="005D72A1"/>
    <w:rsid w:val="005E56FB"/>
    <w:rsid w:val="005F016C"/>
    <w:rsid w:val="005F0BD0"/>
    <w:rsid w:val="006074F7"/>
    <w:rsid w:val="006220A4"/>
    <w:rsid w:val="00651B59"/>
    <w:rsid w:val="00666520"/>
    <w:rsid w:val="00670CEC"/>
    <w:rsid w:val="00682971"/>
    <w:rsid w:val="0068642D"/>
    <w:rsid w:val="00690382"/>
    <w:rsid w:val="006A29C7"/>
    <w:rsid w:val="006B0DD2"/>
    <w:rsid w:val="006B2473"/>
    <w:rsid w:val="006B7CA3"/>
    <w:rsid w:val="006D75D1"/>
    <w:rsid w:val="006F0A01"/>
    <w:rsid w:val="006F1465"/>
    <w:rsid w:val="0070673B"/>
    <w:rsid w:val="00733EA7"/>
    <w:rsid w:val="007713C1"/>
    <w:rsid w:val="007936E0"/>
    <w:rsid w:val="007B1BC8"/>
    <w:rsid w:val="007B4101"/>
    <w:rsid w:val="007C59E7"/>
    <w:rsid w:val="00867C86"/>
    <w:rsid w:val="00874FE7"/>
    <w:rsid w:val="00875AD8"/>
    <w:rsid w:val="00881E93"/>
    <w:rsid w:val="00897224"/>
    <w:rsid w:val="008A0CE4"/>
    <w:rsid w:val="008B54B2"/>
    <w:rsid w:val="008B797D"/>
    <w:rsid w:val="00934688"/>
    <w:rsid w:val="0095577A"/>
    <w:rsid w:val="00964140"/>
    <w:rsid w:val="009A6456"/>
    <w:rsid w:val="009B3109"/>
    <w:rsid w:val="009D06A4"/>
    <w:rsid w:val="009E47CA"/>
    <w:rsid w:val="009F7928"/>
    <w:rsid w:val="00A646FA"/>
    <w:rsid w:val="00A95FC2"/>
    <w:rsid w:val="00AB6712"/>
    <w:rsid w:val="00AC4848"/>
    <w:rsid w:val="00AE2B01"/>
    <w:rsid w:val="00AF2321"/>
    <w:rsid w:val="00B06016"/>
    <w:rsid w:val="00B15106"/>
    <w:rsid w:val="00B363AA"/>
    <w:rsid w:val="00B52D2C"/>
    <w:rsid w:val="00B905A3"/>
    <w:rsid w:val="00B90956"/>
    <w:rsid w:val="00B9449E"/>
    <w:rsid w:val="00BA2DD9"/>
    <w:rsid w:val="00BE711F"/>
    <w:rsid w:val="00C103EA"/>
    <w:rsid w:val="00C107A2"/>
    <w:rsid w:val="00C1211D"/>
    <w:rsid w:val="00C15392"/>
    <w:rsid w:val="00C27DC7"/>
    <w:rsid w:val="00C56D48"/>
    <w:rsid w:val="00C95F8E"/>
    <w:rsid w:val="00CB50D5"/>
    <w:rsid w:val="00CE4BB3"/>
    <w:rsid w:val="00CE7F59"/>
    <w:rsid w:val="00D14700"/>
    <w:rsid w:val="00D15C1D"/>
    <w:rsid w:val="00D36B2C"/>
    <w:rsid w:val="00D36B60"/>
    <w:rsid w:val="00D41C7A"/>
    <w:rsid w:val="00D91CED"/>
    <w:rsid w:val="00DA4713"/>
    <w:rsid w:val="00DA6608"/>
    <w:rsid w:val="00DA7AEC"/>
    <w:rsid w:val="00DB5758"/>
    <w:rsid w:val="00DD0736"/>
    <w:rsid w:val="00DE2FC0"/>
    <w:rsid w:val="00DF2088"/>
    <w:rsid w:val="00E05965"/>
    <w:rsid w:val="00E60A4A"/>
    <w:rsid w:val="00E83284"/>
    <w:rsid w:val="00E87333"/>
    <w:rsid w:val="00EA417F"/>
    <w:rsid w:val="00EC1E1E"/>
    <w:rsid w:val="00EC38D8"/>
    <w:rsid w:val="00ED4792"/>
    <w:rsid w:val="00ED5D69"/>
    <w:rsid w:val="00EE701A"/>
    <w:rsid w:val="00F267ED"/>
    <w:rsid w:val="00F34436"/>
    <w:rsid w:val="00F3719C"/>
    <w:rsid w:val="00F65CF1"/>
    <w:rsid w:val="00F723BF"/>
    <w:rsid w:val="00F75511"/>
    <w:rsid w:val="00F81C72"/>
    <w:rsid w:val="00F96EFF"/>
    <w:rsid w:val="00FA79A7"/>
    <w:rsid w:val="00FB0332"/>
    <w:rsid w:val="00FC0536"/>
    <w:rsid w:val="00FD0671"/>
    <w:rsid w:val="00FD0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37BFA"/>
  <w15:chartTrackingRefBased/>
  <w15:docId w15:val="{F0DCD4FD-EE8B-4616-B04B-974AC494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CE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60A4A"/>
    <w:pPr>
      <w:widowControl w:val="0"/>
      <w:autoSpaceDE w:val="0"/>
      <w:autoSpaceDN w:val="0"/>
      <w:ind w:left="100"/>
      <w:outlineLvl w:val="0"/>
    </w:pPr>
    <w:rPr>
      <w:rFonts w:ascii="Calibri" w:eastAsia="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473"/>
    <w:pPr>
      <w:tabs>
        <w:tab w:val="center" w:pos="4680"/>
        <w:tab w:val="right" w:pos="9360"/>
      </w:tabs>
    </w:pPr>
  </w:style>
  <w:style w:type="character" w:customStyle="1" w:styleId="HeaderChar">
    <w:name w:val="Header Char"/>
    <w:basedOn w:val="DefaultParagraphFont"/>
    <w:link w:val="Header"/>
    <w:uiPriority w:val="99"/>
    <w:rsid w:val="006B2473"/>
  </w:style>
  <w:style w:type="paragraph" w:styleId="Footer">
    <w:name w:val="footer"/>
    <w:basedOn w:val="Normal"/>
    <w:link w:val="FooterChar"/>
    <w:uiPriority w:val="99"/>
    <w:unhideWhenUsed/>
    <w:rsid w:val="006B2473"/>
    <w:pPr>
      <w:tabs>
        <w:tab w:val="center" w:pos="4680"/>
        <w:tab w:val="right" w:pos="9360"/>
      </w:tabs>
    </w:pPr>
  </w:style>
  <w:style w:type="character" w:customStyle="1" w:styleId="FooterChar">
    <w:name w:val="Footer Char"/>
    <w:basedOn w:val="DefaultParagraphFont"/>
    <w:link w:val="Footer"/>
    <w:uiPriority w:val="99"/>
    <w:rsid w:val="006B2473"/>
  </w:style>
  <w:style w:type="paragraph" w:styleId="BalloonText">
    <w:name w:val="Balloon Text"/>
    <w:basedOn w:val="Normal"/>
    <w:link w:val="BalloonTextChar"/>
    <w:uiPriority w:val="99"/>
    <w:semiHidden/>
    <w:unhideWhenUsed/>
    <w:rsid w:val="006B24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473"/>
    <w:rPr>
      <w:rFonts w:ascii="Segoe UI" w:hAnsi="Segoe UI" w:cs="Segoe UI"/>
      <w:sz w:val="18"/>
      <w:szCs w:val="18"/>
    </w:rPr>
  </w:style>
  <w:style w:type="paragraph" w:styleId="BodyText">
    <w:name w:val="Body Text"/>
    <w:basedOn w:val="Normal"/>
    <w:link w:val="BodyTextChar"/>
    <w:uiPriority w:val="1"/>
    <w:qFormat/>
    <w:rsid w:val="00875AD8"/>
    <w:pPr>
      <w:widowControl w:val="0"/>
      <w:autoSpaceDE w:val="0"/>
      <w:autoSpaceDN w:val="0"/>
    </w:pPr>
    <w:rPr>
      <w:sz w:val="23"/>
      <w:szCs w:val="23"/>
    </w:rPr>
  </w:style>
  <w:style w:type="character" w:customStyle="1" w:styleId="BodyTextChar">
    <w:name w:val="Body Text Char"/>
    <w:basedOn w:val="DefaultParagraphFont"/>
    <w:link w:val="BodyText"/>
    <w:uiPriority w:val="1"/>
    <w:rsid w:val="00875AD8"/>
    <w:rPr>
      <w:rFonts w:ascii="Times New Roman" w:eastAsia="Times New Roman" w:hAnsi="Times New Roman" w:cs="Times New Roman"/>
      <w:sz w:val="23"/>
      <w:szCs w:val="23"/>
    </w:rPr>
  </w:style>
  <w:style w:type="character" w:styleId="Hyperlink">
    <w:name w:val="Hyperlink"/>
    <w:basedOn w:val="DefaultParagraphFont"/>
    <w:uiPriority w:val="99"/>
    <w:unhideWhenUsed/>
    <w:rsid w:val="00EA417F"/>
    <w:rPr>
      <w:color w:val="0563C1" w:themeColor="hyperlink"/>
      <w:u w:val="single"/>
    </w:rPr>
  </w:style>
  <w:style w:type="character" w:customStyle="1" w:styleId="Heading1Char">
    <w:name w:val="Heading 1 Char"/>
    <w:basedOn w:val="DefaultParagraphFont"/>
    <w:link w:val="Heading1"/>
    <w:uiPriority w:val="9"/>
    <w:rsid w:val="00E60A4A"/>
    <w:rPr>
      <w:rFonts w:ascii="Calibri" w:eastAsia="Calibri" w:hAnsi="Calibri" w:cs="Calibri"/>
      <w:b/>
      <w:bCs/>
    </w:rPr>
  </w:style>
  <w:style w:type="paragraph" w:styleId="Title">
    <w:name w:val="Title"/>
    <w:basedOn w:val="Normal"/>
    <w:link w:val="TitleChar"/>
    <w:uiPriority w:val="10"/>
    <w:qFormat/>
    <w:rsid w:val="00E60A4A"/>
    <w:pPr>
      <w:widowControl w:val="0"/>
      <w:autoSpaceDE w:val="0"/>
      <w:autoSpaceDN w:val="0"/>
      <w:spacing w:before="19"/>
      <w:ind w:left="100" w:right="5897"/>
    </w:pPr>
    <w:rPr>
      <w:rFonts w:ascii="Calibri" w:eastAsia="Calibri" w:hAnsi="Calibri" w:cs="Calibri"/>
      <w:b/>
      <w:bCs/>
      <w:sz w:val="28"/>
      <w:szCs w:val="28"/>
    </w:rPr>
  </w:style>
  <w:style w:type="character" w:customStyle="1" w:styleId="TitleChar">
    <w:name w:val="Title Char"/>
    <w:basedOn w:val="DefaultParagraphFont"/>
    <w:link w:val="Title"/>
    <w:uiPriority w:val="10"/>
    <w:rsid w:val="00E60A4A"/>
    <w:rPr>
      <w:rFonts w:ascii="Calibri" w:eastAsia="Calibri" w:hAnsi="Calibri" w:cs="Calibri"/>
      <w:b/>
      <w:bCs/>
      <w:sz w:val="28"/>
      <w:szCs w:val="28"/>
    </w:rPr>
  </w:style>
  <w:style w:type="paragraph" w:styleId="ListParagraph">
    <w:name w:val="List Paragraph"/>
    <w:basedOn w:val="Normal"/>
    <w:uiPriority w:val="1"/>
    <w:qFormat/>
    <w:rsid w:val="00E60A4A"/>
    <w:pPr>
      <w:widowControl w:val="0"/>
      <w:autoSpaceDE w:val="0"/>
      <w:autoSpaceDN w:val="0"/>
      <w:spacing w:before="160"/>
      <w:ind w:left="441" w:right="493" w:hanging="346"/>
    </w:pPr>
    <w:rPr>
      <w:rFonts w:ascii="Calibri" w:eastAsia="Calibri" w:hAnsi="Calibri" w:cs="Calibri"/>
      <w:sz w:val="22"/>
      <w:szCs w:val="22"/>
    </w:rPr>
  </w:style>
  <w:style w:type="paragraph" w:styleId="NoSpacing">
    <w:name w:val="No Spacing"/>
    <w:uiPriority w:val="1"/>
    <w:qFormat/>
    <w:rsid w:val="00C56D48"/>
    <w:pPr>
      <w:widowControl w:val="0"/>
      <w:autoSpaceDE w:val="0"/>
      <w:autoSpaceDN w:val="0"/>
      <w:spacing w:after="0" w:line="240" w:lineRule="auto"/>
    </w:pPr>
    <w:rPr>
      <w:rFonts w:ascii="Gill Sans MT" w:eastAsia="Gill Sans MT" w:hAnsi="Gill Sans MT" w:cs="Gill Sans MT"/>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243511">
      <w:bodyDiv w:val="1"/>
      <w:marLeft w:val="0"/>
      <w:marRight w:val="0"/>
      <w:marTop w:val="0"/>
      <w:marBottom w:val="0"/>
      <w:divBdr>
        <w:top w:val="none" w:sz="0" w:space="0" w:color="auto"/>
        <w:left w:val="none" w:sz="0" w:space="0" w:color="auto"/>
        <w:bottom w:val="none" w:sz="0" w:space="0" w:color="auto"/>
        <w:right w:val="none" w:sz="0" w:space="0" w:color="auto"/>
      </w:divBdr>
    </w:div>
    <w:div w:id="760833219">
      <w:bodyDiv w:val="1"/>
      <w:marLeft w:val="0"/>
      <w:marRight w:val="0"/>
      <w:marTop w:val="0"/>
      <w:marBottom w:val="0"/>
      <w:divBdr>
        <w:top w:val="none" w:sz="0" w:space="0" w:color="auto"/>
        <w:left w:val="none" w:sz="0" w:space="0" w:color="auto"/>
        <w:bottom w:val="none" w:sz="0" w:space="0" w:color="auto"/>
        <w:right w:val="none" w:sz="0" w:space="0" w:color="auto"/>
      </w:divBdr>
    </w:div>
    <w:div w:id="882448097">
      <w:bodyDiv w:val="1"/>
      <w:marLeft w:val="0"/>
      <w:marRight w:val="0"/>
      <w:marTop w:val="0"/>
      <w:marBottom w:val="0"/>
      <w:divBdr>
        <w:top w:val="none" w:sz="0" w:space="0" w:color="auto"/>
        <w:left w:val="none" w:sz="0" w:space="0" w:color="auto"/>
        <w:bottom w:val="none" w:sz="0" w:space="0" w:color="auto"/>
        <w:right w:val="none" w:sz="0" w:space="0" w:color="auto"/>
      </w:divBdr>
    </w:div>
    <w:div w:id="999310923">
      <w:bodyDiv w:val="1"/>
      <w:marLeft w:val="0"/>
      <w:marRight w:val="0"/>
      <w:marTop w:val="0"/>
      <w:marBottom w:val="0"/>
      <w:divBdr>
        <w:top w:val="none" w:sz="0" w:space="0" w:color="auto"/>
        <w:left w:val="none" w:sz="0" w:space="0" w:color="auto"/>
        <w:bottom w:val="none" w:sz="0" w:space="0" w:color="auto"/>
        <w:right w:val="none" w:sz="0" w:space="0" w:color="auto"/>
      </w:divBdr>
    </w:div>
    <w:div w:id="1029600646">
      <w:bodyDiv w:val="1"/>
      <w:marLeft w:val="0"/>
      <w:marRight w:val="0"/>
      <w:marTop w:val="0"/>
      <w:marBottom w:val="0"/>
      <w:divBdr>
        <w:top w:val="none" w:sz="0" w:space="0" w:color="auto"/>
        <w:left w:val="none" w:sz="0" w:space="0" w:color="auto"/>
        <w:bottom w:val="none" w:sz="0" w:space="0" w:color="auto"/>
        <w:right w:val="none" w:sz="0" w:space="0" w:color="auto"/>
      </w:divBdr>
    </w:div>
    <w:div w:id="1073819269">
      <w:bodyDiv w:val="1"/>
      <w:marLeft w:val="0"/>
      <w:marRight w:val="0"/>
      <w:marTop w:val="0"/>
      <w:marBottom w:val="0"/>
      <w:divBdr>
        <w:top w:val="none" w:sz="0" w:space="0" w:color="auto"/>
        <w:left w:val="none" w:sz="0" w:space="0" w:color="auto"/>
        <w:bottom w:val="none" w:sz="0" w:space="0" w:color="auto"/>
        <w:right w:val="none" w:sz="0" w:space="0" w:color="auto"/>
      </w:divBdr>
    </w:div>
    <w:div w:id="1246499521">
      <w:bodyDiv w:val="1"/>
      <w:marLeft w:val="0"/>
      <w:marRight w:val="0"/>
      <w:marTop w:val="0"/>
      <w:marBottom w:val="0"/>
      <w:divBdr>
        <w:top w:val="none" w:sz="0" w:space="0" w:color="auto"/>
        <w:left w:val="none" w:sz="0" w:space="0" w:color="auto"/>
        <w:bottom w:val="none" w:sz="0" w:space="0" w:color="auto"/>
        <w:right w:val="none" w:sz="0" w:space="0" w:color="auto"/>
      </w:divBdr>
    </w:div>
    <w:div w:id="1552886480">
      <w:bodyDiv w:val="1"/>
      <w:marLeft w:val="0"/>
      <w:marRight w:val="0"/>
      <w:marTop w:val="0"/>
      <w:marBottom w:val="0"/>
      <w:divBdr>
        <w:top w:val="none" w:sz="0" w:space="0" w:color="auto"/>
        <w:left w:val="none" w:sz="0" w:space="0" w:color="auto"/>
        <w:bottom w:val="none" w:sz="0" w:space="0" w:color="auto"/>
        <w:right w:val="none" w:sz="0" w:space="0" w:color="auto"/>
      </w:divBdr>
    </w:div>
    <w:div w:id="1554123955">
      <w:bodyDiv w:val="1"/>
      <w:marLeft w:val="0"/>
      <w:marRight w:val="0"/>
      <w:marTop w:val="0"/>
      <w:marBottom w:val="0"/>
      <w:divBdr>
        <w:top w:val="none" w:sz="0" w:space="0" w:color="auto"/>
        <w:left w:val="none" w:sz="0" w:space="0" w:color="auto"/>
        <w:bottom w:val="none" w:sz="0" w:space="0" w:color="auto"/>
        <w:right w:val="none" w:sz="0" w:space="0" w:color="auto"/>
      </w:divBdr>
    </w:div>
    <w:div w:id="1753047176">
      <w:bodyDiv w:val="1"/>
      <w:marLeft w:val="0"/>
      <w:marRight w:val="0"/>
      <w:marTop w:val="0"/>
      <w:marBottom w:val="0"/>
      <w:divBdr>
        <w:top w:val="none" w:sz="0" w:space="0" w:color="auto"/>
        <w:left w:val="none" w:sz="0" w:space="0" w:color="auto"/>
        <w:bottom w:val="none" w:sz="0" w:space="0" w:color="auto"/>
        <w:right w:val="none" w:sz="0" w:space="0" w:color="auto"/>
      </w:divBdr>
    </w:div>
    <w:div w:id="187357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2140</Words>
  <Characters>12199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MPMC</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Perkinson Mckinley</dc:creator>
  <cp:keywords/>
  <dc:description/>
  <cp:lastModifiedBy>Gordian Michael</cp:lastModifiedBy>
  <cp:revision>39</cp:revision>
  <cp:lastPrinted>2024-12-12T17:44:00Z</cp:lastPrinted>
  <dcterms:created xsi:type="dcterms:W3CDTF">2025-03-28T18:08:00Z</dcterms:created>
  <dcterms:modified xsi:type="dcterms:W3CDTF">2025-03-28T18:33:00Z</dcterms:modified>
</cp:coreProperties>
</file>